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jc w:val="left"/>
        <w:rPr>
          <w:rFonts w:ascii="Calibri" w:hAnsi="Calibri" w:eastAsia="宋体" w:cs="宋体"/>
          <w:b/>
          <w:bCs/>
          <w:sz w:val="28"/>
          <w:szCs w:val="21"/>
        </w:rPr>
      </w:pPr>
      <w:r>
        <w:rPr>
          <w:rFonts w:hint="eastAsia" w:ascii="Calibri" w:hAnsi="Calibri" w:eastAsia="宋体" w:cs="宋体"/>
          <w:b/>
          <w:bCs/>
          <w:sz w:val="28"/>
          <w:szCs w:val="21"/>
        </w:rPr>
        <w:t>附件：</w:t>
      </w:r>
    </w:p>
    <w:p>
      <w:pPr>
        <w:spacing w:line="160" w:lineRule="atLeast"/>
        <w:jc w:val="center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2017中国国际循环经济展览会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>提前参展申请表</w:t>
      </w:r>
      <w:r>
        <w:rPr>
          <w:rFonts w:cs="宋体" w:asciiTheme="minorEastAsia" w:hAnsiTheme="minorEastAsia"/>
          <w:b/>
          <w:bCs/>
          <w:sz w:val="28"/>
          <w:szCs w:val="28"/>
        </w:rPr>
        <w:t xml:space="preserve"> </w:t>
      </w:r>
    </w:p>
    <w:tbl>
      <w:tblPr>
        <w:tblStyle w:val="4"/>
        <w:tblW w:w="8180" w:type="dxa"/>
        <w:jc w:val="center"/>
        <w:tblInd w:w="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622"/>
        <w:gridCol w:w="850"/>
        <w:gridCol w:w="1481"/>
        <w:gridCol w:w="144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公司名称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GB"/>
              </w:rPr>
              <w:t>：</w:t>
            </w:r>
          </w:p>
        </w:tc>
        <w:tc>
          <w:tcPr>
            <w:tcW w:w="6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GB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GB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    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GB"/>
              </w:rPr>
              <w:t>：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    编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GB"/>
              </w:rPr>
              <w:t>：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电    话： 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传 真：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 系 人：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电子邮件：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    务：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拟展展品：</w:t>
            </w:r>
          </w:p>
        </w:tc>
        <w:tc>
          <w:tcPr>
            <w:tcW w:w="6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目标观众：</w:t>
            </w:r>
          </w:p>
        </w:tc>
        <w:tc>
          <w:tcPr>
            <w:tcW w:w="6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148" w:tblpY="191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679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展位价格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标准展台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（3米×3米＝9平方米）9800 元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（3米×4米＝12平方米）12800 元</w:t>
            </w:r>
          </w:p>
        </w:tc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光地展台≥36平方米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980元/平方米</w:t>
            </w:r>
          </w:p>
        </w:tc>
      </w:tr>
    </w:tbl>
    <w:p>
      <w:pPr>
        <w:widowControl/>
        <w:snapToGrid w:val="0"/>
        <w:spacing w:before="100" w:beforeAutospacing="1" w:after="100" w:afterAutospacing="1" w:line="20" w:lineRule="exact"/>
        <w:ind w:firstLine="40" w:firstLineChars="200"/>
        <w:jc w:val="left"/>
        <w:rPr>
          <w:rFonts w:ascii="宋体" w:hAnsi="宋体" w:eastAsia="宋体" w:cs="宋体"/>
          <w:kern w:val="0"/>
          <w:sz w:val="2"/>
          <w:szCs w:val="21"/>
        </w:rPr>
      </w:pPr>
    </w:p>
    <w:tbl>
      <w:tblPr>
        <w:tblStyle w:val="4"/>
        <w:tblpPr w:leftFromText="180" w:rightFromText="180" w:vertAnchor="text" w:horzAnchor="margin" w:tblpX="148" w:tblpYSpec="bottom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76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类型：</w:t>
            </w:r>
          </w:p>
        </w:tc>
        <w:tc>
          <w:tcPr>
            <w:tcW w:w="6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□标准展台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□光地展台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区域：</w:t>
            </w:r>
          </w:p>
        </w:tc>
        <w:tc>
          <w:tcPr>
            <w:tcW w:w="6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□工业循环经济     □农业循环经济       □资源再生利用与再制造 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□垃圾资源化利用   □节水与水循环利用   □节能低碳与可再生能源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□清洁生产、污染防治和生态修复技术      □循环经济文化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□国际及港澳台地区循环经济技术与装备    □基地成果展示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□招商引资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选择展台号：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 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总面积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展台费用（人民币）：大写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小写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          </w:t>
            </w:r>
          </w:p>
        </w:tc>
      </w:tr>
    </w:tbl>
    <w:p>
      <w:pPr>
        <w:widowControl/>
        <w:snapToGrid w:val="0"/>
        <w:jc w:val="left"/>
        <w:rPr>
          <w:rFonts w:ascii="宋体" w:hAnsi="宋体" w:eastAsia="宋体" w:cs="宋体"/>
          <w:kern w:val="0"/>
          <w:sz w:val="18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 w:val="18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kern w:val="0"/>
          <w:sz w:val="18"/>
          <w:szCs w:val="21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21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kern w:val="0"/>
          <w:sz w:val="18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 w:val="18"/>
          <w:szCs w:val="21"/>
          <w:u w:val="single"/>
        </w:rPr>
        <w:t xml:space="preserve">                       </w:t>
      </w:r>
    </w:p>
    <w:p>
      <w:pPr>
        <w:widowControl/>
        <w:snapToGrid w:val="0"/>
        <w:jc w:val="left"/>
        <w:rPr>
          <w:rFonts w:ascii="宋体" w:hAnsi="宋体" w:eastAsia="宋体" w:cs="宋体"/>
          <w:kern w:val="0"/>
          <w:sz w:val="18"/>
          <w:szCs w:val="18"/>
          <w:lang w:val="en-GB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GB"/>
        </w:rPr>
        <w:t xml:space="preserve">         公司印章和负责人签字                 负责人姓名和职务      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GB"/>
        </w:rPr>
        <w:t xml:space="preserve"> 日  期</w:t>
      </w:r>
    </w:p>
    <w:p>
      <w:pPr>
        <w:widowControl/>
        <w:snapToGrid w:val="0"/>
        <w:jc w:val="left"/>
        <w:rPr>
          <w:rFonts w:ascii="宋体" w:hAnsi="宋体" w:eastAsia="宋体" w:cs="宋体"/>
          <w:kern w:val="0"/>
          <w:sz w:val="18"/>
          <w:szCs w:val="18"/>
          <w:lang w:val="en-GB"/>
        </w:rPr>
      </w:pPr>
    </w:p>
    <w:tbl>
      <w:tblPr>
        <w:tblStyle w:val="4"/>
        <w:tblW w:w="82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请将此表回传：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联系人：</w:t>
            </w:r>
          </w:p>
          <w:p>
            <w:pPr>
              <w:widowControl/>
              <w:snapToGrid w:val="0"/>
              <w:spacing w:line="360" w:lineRule="auto"/>
              <w:ind w:left="105" w:hanging="105" w:hangingChars="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邵  劲 13701357396（82290313转871）  马金津 13701217045（国际82290313转891）路  鹭13621173813（82290313转826）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刘奕含 15201243801（82290313转894）     卢  婷 15210199083（82290313转863）</w:t>
            </w:r>
          </w:p>
          <w:p>
            <w:pPr>
              <w:widowControl/>
              <w:snapToGrid w:val="0"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电话：010-82290313      传真：010-88334622</w:t>
            </w:r>
          </w:p>
          <w:p>
            <w:pPr>
              <w:pStyle w:val="2"/>
              <w:snapToGrid w:val="0"/>
              <w:spacing w:before="0" w:beforeAutospacing="0" w:after="0" w:afterAutospacing="0" w:line="360" w:lineRule="auto"/>
              <w:jc w:val="both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 xml:space="preserve">地址：北京市西城区百万庄大街22号院2号楼3层       邮编：100037    </w:t>
            </w:r>
          </w:p>
          <w:p>
            <w:pPr>
              <w:pStyle w:val="2"/>
              <w:snapToGrid w:val="0"/>
              <w:spacing w:before="0" w:beforeAutospacing="0" w:after="0" w:afterAutospacing="0" w:line="360" w:lineRule="auto"/>
              <w:jc w:val="both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邮箱：</w:t>
            </w:r>
            <w:r>
              <w:rPr>
                <w:rFonts w:cs="宋体"/>
                <w:sz w:val="21"/>
                <w:szCs w:val="21"/>
              </w:rPr>
              <w:t>hz@chinacace.org</w:t>
            </w:r>
          </w:p>
          <w:p>
            <w:pPr>
              <w:widowControl/>
              <w:snapToGrid w:val="0"/>
              <w:spacing w:line="360" w:lineRule="auto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中国国际循环经济展览会官方网站：www.chinacace.org</w:t>
            </w:r>
          </w:p>
        </w:tc>
      </w:tr>
    </w:tbl>
    <w:p>
      <w:pPr>
        <w:rPr>
          <w:rFonts w:eastAsiaTheme="minorEastAsia"/>
          <w:vanish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35F4B"/>
    <w:rsid w:val="330D4378"/>
    <w:rsid w:val="58535F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2017-03-28T07:08:00Z</dcterms:created>
  <dc:creator>Kicaz</dc:creator>
  <cp:lastModifiedBy>Kicaz</cp:lastModifiedBy>
  <dcterms:modified xsi:type="dcterms:W3CDTF">2017-03-29T08:13:43Z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