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82" w:rsidRDefault="007E7082" w:rsidP="007E7082">
      <w:pPr>
        <w:rPr>
          <w:rFonts w:ascii="Times New Roman" w:eastAsia="仿宋_GB2312" w:hAnsi="Times New Roman" w:cs="Times New Roman"/>
          <w:sz w:val="28"/>
        </w:rPr>
      </w:pPr>
      <w:r>
        <w:rPr>
          <w:rFonts w:ascii="黑体" w:eastAsia="黑体" w:hAnsi="黑体" w:cs="Times New Roman"/>
          <w:sz w:val="28"/>
        </w:rPr>
        <w:t>附件</w:t>
      </w:r>
      <w:r>
        <w:rPr>
          <w:rFonts w:ascii="Times New Roman" w:eastAsia="仿宋_GB2312" w:hAnsi="Times New Roman" w:cs="Times New Roman"/>
          <w:sz w:val="28"/>
        </w:rPr>
        <w:t xml:space="preserve">2 </w:t>
      </w:r>
    </w:p>
    <w:p w:rsidR="007E7082" w:rsidRDefault="007E7082" w:rsidP="007E7082">
      <w:pPr>
        <w:jc w:val="center"/>
        <w:rPr>
          <w:rFonts w:ascii="方正小标宋简体" w:eastAsia="方正小标宋简体" w:hAnsi="Times New Roman" w:cs="Times New Roman"/>
          <w:sz w:val="32"/>
        </w:rPr>
      </w:pPr>
      <w:r>
        <w:rPr>
          <w:rFonts w:ascii="方正小标宋简体" w:eastAsia="方正小标宋简体" w:hAnsi="Times New Roman" w:cs="Times New Roman" w:hint="eastAsia"/>
          <w:sz w:val="32"/>
        </w:rPr>
        <w:t>其他相关补充材料及支撑文件</w:t>
      </w:r>
    </w:p>
    <w:p w:rsidR="007E7082" w:rsidRDefault="007E7082" w:rsidP="007E7082">
      <w:pPr>
        <w:widowControl/>
        <w:jc w:val="left"/>
        <w:rPr>
          <w:rFonts w:ascii="Times New Roman" w:eastAsia="仿宋_GB2312" w:hAnsi="Times New Roman" w:cs="Times New Roman"/>
          <w:sz w:val="28"/>
        </w:rPr>
      </w:pPr>
    </w:p>
    <w:p w:rsidR="007E7082" w:rsidRDefault="007E7082" w:rsidP="007E7082">
      <w:pPr>
        <w:widowControl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30"/>
        </w:rPr>
      </w:pPr>
      <w:r>
        <w:rPr>
          <w:rFonts w:ascii="Times New Roman" w:eastAsia="仿宋_GB2312" w:hAnsi="Times New Roman" w:cs="Times New Roman" w:hint="eastAsia"/>
          <w:sz w:val="28"/>
          <w:szCs w:val="30"/>
        </w:rPr>
        <w:t>申报企业及科研机构可结合实际情况酌情补充相关材料及支撑文件，材料包括但不限于以下内容：</w:t>
      </w:r>
    </w:p>
    <w:p w:rsidR="007E7082" w:rsidRDefault="007E7082" w:rsidP="007E7082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Times New Roman" w:eastAsia="仿宋_GB2312" w:hAnsi="Times New Roman" w:cs="Times New Roman"/>
          <w:sz w:val="28"/>
          <w:szCs w:val="30"/>
        </w:rPr>
      </w:pPr>
      <w:r>
        <w:rPr>
          <w:rFonts w:ascii="Times New Roman" w:eastAsia="仿宋_GB2312" w:hAnsi="Times New Roman" w:cs="Times New Roman"/>
          <w:sz w:val="28"/>
          <w:szCs w:val="30"/>
        </w:rPr>
        <w:t>申报企业（科研机构）固体废物相关业务、成绩；</w:t>
      </w:r>
    </w:p>
    <w:p w:rsidR="007E7082" w:rsidRDefault="007E7082" w:rsidP="007E7082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Times New Roman" w:eastAsia="仿宋_GB2312" w:hAnsi="Times New Roman" w:cs="Times New Roman"/>
          <w:sz w:val="28"/>
          <w:szCs w:val="30"/>
        </w:rPr>
      </w:pPr>
      <w:r>
        <w:rPr>
          <w:rFonts w:ascii="Times New Roman" w:eastAsia="仿宋_GB2312" w:hAnsi="Times New Roman" w:cs="Times New Roman"/>
          <w:sz w:val="28"/>
          <w:szCs w:val="30"/>
        </w:rPr>
        <w:t>申报技术及管理方案特色和亮点；</w:t>
      </w:r>
    </w:p>
    <w:p w:rsidR="007E7082" w:rsidRDefault="007E7082" w:rsidP="007E7082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Times New Roman" w:eastAsia="仿宋_GB2312" w:hAnsi="Times New Roman" w:cs="Times New Roman"/>
          <w:sz w:val="28"/>
          <w:szCs w:val="30"/>
        </w:rPr>
      </w:pPr>
      <w:r>
        <w:rPr>
          <w:rFonts w:ascii="Times New Roman" w:eastAsia="仿宋_GB2312" w:hAnsi="Times New Roman" w:cs="Times New Roman" w:hint="eastAsia"/>
          <w:sz w:val="28"/>
          <w:szCs w:val="30"/>
        </w:rPr>
        <w:t>技术及管理方案应用可行性分析；</w:t>
      </w:r>
    </w:p>
    <w:p w:rsidR="007E7082" w:rsidRDefault="007E7082" w:rsidP="007E7082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Times New Roman" w:eastAsia="仿宋_GB2312" w:hAnsi="Times New Roman" w:cs="Times New Roman"/>
          <w:sz w:val="28"/>
          <w:szCs w:val="30"/>
        </w:rPr>
      </w:pPr>
      <w:r>
        <w:rPr>
          <w:rFonts w:ascii="Times New Roman" w:eastAsia="仿宋_GB2312" w:hAnsi="Times New Roman" w:cs="Times New Roman"/>
          <w:sz w:val="28"/>
          <w:szCs w:val="30"/>
        </w:rPr>
        <w:t>技术及管理方案成功应用案例；</w:t>
      </w:r>
    </w:p>
    <w:p w:rsidR="007E7082" w:rsidRDefault="007E7082" w:rsidP="007E7082">
      <w:pPr>
        <w:pStyle w:val="a3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  <w:szCs w:val="30"/>
        </w:rPr>
        <w:t>其他相关材料。</w:t>
      </w:r>
    </w:p>
    <w:p w:rsidR="00D27057" w:rsidRDefault="00D27057"/>
    <w:sectPr w:rsidR="00D27057" w:rsidSect="00DD0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97C71"/>
    <w:multiLevelType w:val="multilevel"/>
    <w:tmpl w:val="2DE97C71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7082"/>
    <w:rsid w:val="007E7082"/>
    <w:rsid w:val="00D2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08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Kicaz</dc:creator>
  <cp:lastModifiedBy>Kicaz</cp:lastModifiedBy>
  <cp:revision>1</cp:revision>
  <dcterms:created xsi:type="dcterms:W3CDTF">2021-04-27T02:20:00Z</dcterms:created>
  <dcterms:modified xsi:type="dcterms:W3CDTF">2021-04-27T02:20:00Z</dcterms:modified>
</cp:coreProperties>
</file>