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Default="00754CBB" w:rsidP="00754CBB">
      <w:pPr>
        <w:pStyle w:val="a4"/>
        <w:adjustRightInd w:val="0"/>
        <w:snapToGrid w:val="0"/>
        <w:spacing w:line="5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754CBB" w:rsidRDefault="00754CBB" w:rsidP="00754CBB">
      <w:pPr>
        <w:pStyle w:val="a4"/>
        <w:adjustRightInd w:val="0"/>
        <w:snapToGrid w:val="0"/>
        <w:spacing w:line="500" w:lineRule="exact"/>
        <w:rPr>
          <w:rFonts w:eastAsia="黑体"/>
          <w:szCs w:val="32"/>
        </w:rPr>
      </w:pPr>
    </w:p>
    <w:p w:rsidR="00754CBB" w:rsidRDefault="00754CBB" w:rsidP="00754CBB">
      <w:pPr>
        <w:pStyle w:val="a4"/>
        <w:adjustRightInd w:val="0"/>
        <w:snapToGrid w:val="0"/>
        <w:spacing w:line="500" w:lineRule="exact"/>
        <w:jc w:val="center"/>
        <w:rPr>
          <w:sz w:val="44"/>
          <w:szCs w:val="44"/>
        </w:rPr>
      </w:pPr>
      <w:r>
        <w:rPr>
          <w:rFonts w:eastAsia="方正小标宋简体"/>
          <w:sz w:val="44"/>
          <w:szCs w:val="44"/>
        </w:rPr>
        <w:t>绿色低碳试点片区实施方案编制大纲</w:t>
      </w:r>
    </w:p>
    <w:p w:rsidR="00754CBB" w:rsidRDefault="00754CBB" w:rsidP="00754CBB">
      <w:pPr>
        <w:spacing w:line="500" w:lineRule="exact"/>
        <w:rPr>
          <w:szCs w:val="32"/>
        </w:rPr>
      </w:pPr>
    </w:p>
    <w:p w:rsidR="00754CBB" w:rsidRDefault="00754CBB" w:rsidP="00754CBB">
      <w:pPr>
        <w:pStyle w:val="Default"/>
        <w:spacing w:line="500" w:lineRule="exact"/>
        <w:ind w:firstLineChars="200" w:firstLine="640"/>
        <w:rPr>
          <w:rFonts w:asci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eastAsia="黑体" w:cs="Times New Roman"/>
          <w:color w:val="auto"/>
          <w:kern w:val="2"/>
          <w:sz w:val="32"/>
          <w:szCs w:val="32"/>
        </w:rPr>
        <w:t>一、项目概况</w:t>
      </w:r>
    </w:p>
    <w:p w:rsidR="00754CBB" w:rsidRDefault="00754CBB" w:rsidP="00754CBB">
      <w:pPr>
        <w:pStyle w:val="Default"/>
        <w:spacing w:line="500" w:lineRule="exact"/>
        <w:ind w:firstLineChars="200" w:firstLine="640"/>
        <w:jc w:val="both"/>
        <w:rPr>
          <w:rFonts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结合片区所在地的气候环境、资源禀赋、经济文化等特点，介绍政策环境、经济社会基础、交通情况、</w:t>
      </w:r>
      <w:proofErr w:type="gramStart"/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减碳降碳</w:t>
      </w:r>
      <w:proofErr w:type="gramEnd"/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潜力、生态环境等工作基础，介绍星级绿色建筑、既有公共建筑节能改造、太阳能建筑应用、超低能耗建筑等绿色低碳工作情况。</w:t>
      </w:r>
    </w:p>
    <w:p w:rsidR="00754CBB" w:rsidRDefault="00754CBB" w:rsidP="00754CBB">
      <w:pPr>
        <w:pStyle w:val="Default"/>
        <w:spacing w:line="500" w:lineRule="exact"/>
        <w:ind w:firstLineChars="200" w:firstLine="640"/>
        <w:rPr>
          <w:rFonts w:asci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eastAsia="黑体" w:cs="Times New Roman"/>
          <w:color w:val="auto"/>
          <w:kern w:val="2"/>
          <w:sz w:val="32"/>
          <w:szCs w:val="32"/>
        </w:rPr>
        <w:t>二、试点目标</w:t>
      </w:r>
    </w:p>
    <w:p w:rsidR="00754CBB" w:rsidRDefault="00754CBB" w:rsidP="00754CBB">
      <w:pPr>
        <w:pStyle w:val="Default"/>
        <w:spacing w:line="500" w:lineRule="exact"/>
        <w:ind w:firstLineChars="200" w:firstLine="640"/>
        <w:jc w:val="both"/>
        <w:rPr>
          <w:rFonts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结合</w:t>
      </w:r>
      <w:r>
        <w:rPr>
          <w:rFonts w:ascii="Times New Roman" w:eastAsia="仿宋_GB2312" w:cs="Times New Roman"/>
          <w:color w:val="auto"/>
          <w:sz w:val="32"/>
          <w:szCs w:val="32"/>
        </w:rPr>
        <w:t>专项资金绩效目标表，明确总体目标、试点</w:t>
      </w: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目标，分析能实现的经济效益、环境效益、社会效益等。</w:t>
      </w:r>
    </w:p>
    <w:p w:rsidR="00754CBB" w:rsidRDefault="00754CBB" w:rsidP="00754CBB">
      <w:pPr>
        <w:pStyle w:val="Default"/>
        <w:spacing w:line="500" w:lineRule="exact"/>
        <w:ind w:firstLineChars="200" w:firstLine="640"/>
        <w:rPr>
          <w:rFonts w:asci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eastAsia="黑体" w:cs="Times New Roman"/>
          <w:color w:val="auto"/>
          <w:kern w:val="2"/>
          <w:sz w:val="32"/>
          <w:szCs w:val="32"/>
        </w:rPr>
        <w:t>三、试点内容</w:t>
      </w:r>
    </w:p>
    <w:p w:rsidR="00754CBB" w:rsidRDefault="00754CBB" w:rsidP="00754CBB">
      <w:pPr>
        <w:pStyle w:val="Default"/>
        <w:spacing w:line="500" w:lineRule="exact"/>
        <w:ind w:firstLineChars="200" w:firstLine="640"/>
        <w:jc w:val="both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介绍和分析试点片区项目情况，包括项目类型、数量（面积、装机容量等）、创新技术应用、责任单位、计划总投资等</w:t>
      </w:r>
      <w:r>
        <w:rPr>
          <w:rFonts w:ascii="Times New Roman" w:eastAsia="仿宋_GB2312" w:cs="Times New Roman"/>
          <w:color w:val="auto"/>
          <w:sz w:val="32"/>
          <w:szCs w:val="32"/>
        </w:rPr>
        <w:t>，</w:t>
      </w: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介绍具体技术路线和技术方案，并初步提出用于</w:t>
      </w:r>
      <w:r>
        <w:rPr>
          <w:rFonts w:ascii="Times New Roman" w:eastAsia="仿宋_GB2312" w:cs="Times New Roman"/>
          <w:color w:val="auto"/>
          <w:sz w:val="32"/>
          <w:szCs w:val="32"/>
        </w:rPr>
        <w:t>绿色低碳试点创建的总投资、每类试点项目的拟补助资金标准和</w:t>
      </w:r>
      <w:proofErr w:type="gramStart"/>
      <w:r>
        <w:rPr>
          <w:rFonts w:ascii="Times New Roman" w:eastAsia="仿宋_GB2312" w:cs="Times New Roman"/>
          <w:color w:val="auto"/>
          <w:sz w:val="32"/>
          <w:szCs w:val="32"/>
        </w:rPr>
        <w:t>拟补助</w:t>
      </w:r>
      <w:proofErr w:type="gramEnd"/>
      <w:r>
        <w:rPr>
          <w:rFonts w:ascii="Times New Roman" w:eastAsia="仿宋_GB2312" w:cs="Times New Roman"/>
          <w:color w:val="auto"/>
          <w:sz w:val="32"/>
          <w:szCs w:val="32"/>
        </w:rPr>
        <w:t>资金，省级财政补助资金总额不超过</w:t>
      </w:r>
      <w:r>
        <w:rPr>
          <w:rFonts w:ascii="Times New Roman" w:eastAsia="仿宋_GB2312" w:cs="Times New Roman"/>
          <w:color w:val="auto"/>
          <w:sz w:val="32"/>
          <w:szCs w:val="32"/>
        </w:rPr>
        <w:t>500</w:t>
      </w:r>
      <w:r>
        <w:rPr>
          <w:rFonts w:ascii="Times New Roman" w:eastAsia="仿宋_GB2312" w:cs="Times New Roman"/>
          <w:color w:val="auto"/>
          <w:sz w:val="32"/>
          <w:szCs w:val="32"/>
        </w:rPr>
        <w:t>万元。</w:t>
      </w:r>
    </w:p>
    <w:p w:rsidR="00754CBB" w:rsidRDefault="00754CBB" w:rsidP="00754CBB">
      <w:pPr>
        <w:pStyle w:val="Default"/>
        <w:spacing w:line="500" w:lineRule="exact"/>
        <w:jc w:val="center"/>
        <w:rPr>
          <w:rFonts w:asci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ascii="Times New Roman" w:eastAsia="仿宋_GB2312" w:cs="Times New Roman"/>
          <w:b/>
          <w:bCs/>
          <w:color w:val="auto"/>
          <w:sz w:val="28"/>
          <w:szCs w:val="28"/>
        </w:rPr>
        <w:t>各类试点项目拟补助资金与标准</w:t>
      </w:r>
    </w:p>
    <w:tbl>
      <w:tblPr>
        <w:tblW w:w="4996" w:type="pct"/>
        <w:tblLook w:val="0000"/>
      </w:tblPr>
      <w:tblGrid>
        <w:gridCol w:w="2581"/>
        <w:gridCol w:w="980"/>
        <w:gridCol w:w="1139"/>
        <w:gridCol w:w="1168"/>
        <w:gridCol w:w="1274"/>
        <w:gridCol w:w="1373"/>
      </w:tblGrid>
      <w:tr w:rsidR="00754CBB" w:rsidTr="00D86B9B">
        <w:trPr>
          <w:trHeight w:val="96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Style w:val="font11"/>
                <w:rFonts w:eastAsia="黑体"/>
                <w:sz w:val="24"/>
                <w:lang/>
              </w:rPr>
            </w:pPr>
            <w:r>
              <w:rPr>
                <w:rStyle w:val="font11"/>
                <w:rFonts w:eastAsia="黑体"/>
                <w:sz w:val="24"/>
                <w:lang/>
              </w:rPr>
              <w:t>项目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Style w:val="font11"/>
                <w:rFonts w:eastAsia="黑体"/>
                <w:sz w:val="24"/>
                <w:lang/>
              </w:rPr>
            </w:pPr>
            <w:r>
              <w:rPr>
                <w:rStyle w:val="font11"/>
                <w:rFonts w:eastAsia="黑体"/>
                <w:sz w:val="24"/>
                <w:lang/>
              </w:rPr>
              <w:t>数量</w:t>
            </w:r>
          </w:p>
        </w:tc>
        <w:tc>
          <w:tcPr>
            <w:tcW w:w="1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Style w:val="font11"/>
                <w:rFonts w:eastAsia="黑体"/>
                <w:sz w:val="24"/>
                <w:lang/>
              </w:rPr>
            </w:pPr>
            <w:r>
              <w:rPr>
                <w:rStyle w:val="font11"/>
                <w:rFonts w:eastAsia="黑体"/>
                <w:sz w:val="24"/>
                <w:lang/>
              </w:rPr>
              <w:t>拟补助资金标准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Style w:val="font11"/>
                <w:rFonts w:eastAsia="黑体"/>
                <w:sz w:val="24"/>
                <w:lang/>
              </w:rPr>
            </w:pPr>
            <w:r>
              <w:rPr>
                <w:rStyle w:val="font11"/>
                <w:rFonts w:eastAsia="黑体"/>
                <w:sz w:val="24"/>
                <w:lang/>
              </w:rPr>
              <w:t>拟补助资金（万元）</w:t>
            </w:r>
          </w:p>
        </w:tc>
      </w:tr>
      <w:tr w:rsidR="00754CBB" w:rsidTr="00D86B9B">
        <w:trPr>
          <w:trHeight w:val="477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建设三星级绿色建筑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Style w:val="font11"/>
                <w:sz w:val="24"/>
                <w:lang/>
              </w:rPr>
              <w:t>万平方米</w:t>
            </w:r>
            <w:proofErr w:type="gramEnd"/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元</w:t>
            </w:r>
            <w:r>
              <w:rPr>
                <w:rStyle w:val="font31"/>
                <w:rFonts w:eastAsia="仿宋_GB2312"/>
                <w:sz w:val="24"/>
                <w:lang/>
              </w:rPr>
              <w:t>/</w:t>
            </w:r>
            <w:r>
              <w:rPr>
                <w:rStyle w:val="font11"/>
                <w:sz w:val="24"/>
                <w:lang/>
              </w:rPr>
              <w:t>平方米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</w:tr>
      <w:tr w:rsidR="00754CBB" w:rsidTr="00D86B9B">
        <w:trPr>
          <w:trHeight w:val="477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既有公共建筑节能改造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Style w:val="font11"/>
                <w:sz w:val="24"/>
                <w:lang/>
              </w:rPr>
              <w:t>万平方米</w:t>
            </w:r>
            <w:proofErr w:type="gramEnd"/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元</w:t>
            </w:r>
            <w:r>
              <w:rPr>
                <w:rStyle w:val="font31"/>
                <w:rFonts w:eastAsia="仿宋_GB2312"/>
                <w:sz w:val="24"/>
                <w:lang/>
              </w:rPr>
              <w:t>/</w:t>
            </w:r>
            <w:r>
              <w:rPr>
                <w:rStyle w:val="font11"/>
                <w:sz w:val="24"/>
                <w:lang/>
              </w:rPr>
              <w:t>平方米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</w:tr>
      <w:tr w:rsidR="00754CBB" w:rsidTr="00D86B9B">
        <w:trPr>
          <w:trHeight w:val="477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太阳能建筑应用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MWp</w:t>
            </w:r>
            <w:proofErr w:type="spellEnd"/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万元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</w:tr>
      <w:tr w:rsidR="00754CBB" w:rsidTr="00D86B9B">
        <w:trPr>
          <w:trHeight w:val="477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建设超低能耗建筑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Style w:val="font01"/>
                <w:rFonts w:hint="default"/>
                <w:sz w:val="24"/>
                <w:lang/>
              </w:rPr>
              <w:t>万</w:t>
            </w:r>
            <w:r>
              <w:rPr>
                <w:rStyle w:val="font11"/>
                <w:sz w:val="24"/>
                <w:lang/>
              </w:rPr>
              <w:t>平方米</w:t>
            </w:r>
            <w:proofErr w:type="gramEnd"/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元</w:t>
            </w:r>
            <w:r>
              <w:rPr>
                <w:rStyle w:val="font31"/>
                <w:rFonts w:eastAsia="仿宋_GB2312"/>
                <w:sz w:val="24"/>
                <w:lang/>
              </w:rPr>
              <w:t>/</w:t>
            </w:r>
            <w:r>
              <w:rPr>
                <w:rStyle w:val="font11"/>
                <w:sz w:val="24"/>
                <w:lang/>
              </w:rPr>
              <w:t>平方米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</w:tr>
      <w:tr w:rsidR="00754CBB" w:rsidTr="00D86B9B">
        <w:trPr>
          <w:trHeight w:val="375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开展碳排放测算</w:t>
            </w:r>
            <w:r>
              <w:rPr>
                <w:rStyle w:val="font31"/>
                <w:rFonts w:eastAsia="仿宋_GB2312"/>
                <w:sz w:val="24"/>
                <w:lang/>
              </w:rPr>
              <w:t>及</w:t>
            </w:r>
            <w:r>
              <w:rPr>
                <w:rStyle w:val="font11"/>
                <w:sz w:val="24"/>
                <w:lang/>
              </w:rPr>
              <w:t>平</w:t>
            </w:r>
            <w:r>
              <w:rPr>
                <w:rStyle w:val="font11"/>
                <w:sz w:val="24"/>
                <w:lang/>
              </w:rPr>
              <w:lastRenderedPageBreak/>
              <w:t>台建设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项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"/>
                <w:sz w:val="24"/>
                <w:lang/>
              </w:rPr>
              <w:t>万元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</w:tr>
      <w:tr w:rsidR="00754CBB" w:rsidTr="00D86B9B">
        <w:trPr>
          <w:trHeight w:val="675"/>
        </w:trPr>
        <w:tc>
          <w:tcPr>
            <w:tcW w:w="41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lastRenderedPageBreak/>
              <w:t>合计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BB" w:rsidRDefault="00754CBB" w:rsidP="00D86B9B">
            <w:pPr>
              <w:widowControl/>
              <w:spacing w:line="36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754CBB" w:rsidRDefault="00754CBB" w:rsidP="00754CBB">
      <w:pPr>
        <w:pStyle w:val="Default"/>
        <w:spacing w:line="500" w:lineRule="exact"/>
        <w:ind w:left="630"/>
        <w:rPr>
          <w:rFonts w:asci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eastAsia="黑体" w:cs="Times New Roman"/>
          <w:color w:val="auto"/>
          <w:kern w:val="2"/>
          <w:sz w:val="32"/>
          <w:szCs w:val="32"/>
        </w:rPr>
        <w:br w:type="page"/>
      </w:r>
      <w:r>
        <w:rPr>
          <w:rFonts w:ascii="Times New Roman" w:eastAsia="黑体" w:cs="Times New Roman"/>
          <w:color w:val="auto"/>
          <w:kern w:val="2"/>
          <w:sz w:val="32"/>
          <w:szCs w:val="32"/>
        </w:rPr>
        <w:t>四、实施进度安排</w:t>
      </w:r>
    </w:p>
    <w:p w:rsidR="00754CBB" w:rsidRDefault="00754CBB" w:rsidP="00754CBB">
      <w:pPr>
        <w:pStyle w:val="Default"/>
        <w:spacing w:line="500" w:lineRule="exact"/>
        <w:ind w:firstLineChars="200" w:firstLine="640"/>
        <w:rPr>
          <w:rFonts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明确绿色低碳试点片区总体进度安排，细化试点片区项目的立项、设计、施工、验收，以及绿色建筑标识和超低能耗建筑认定、节能改造能耗测评等环节的进度安排。</w:t>
      </w:r>
    </w:p>
    <w:p w:rsidR="00754CBB" w:rsidRDefault="00754CBB" w:rsidP="00754CBB">
      <w:pPr>
        <w:pStyle w:val="Default"/>
        <w:spacing w:line="500" w:lineRule="exact"/>
        <w:rPr>
          <w:rFonts w:asci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eastAsia="黑体" w:cs="Times New Roman"/>
          <w:color w:val="auto"/>
          <w:kern w:val="2"/>
          <w:sz w:val="32"/>
          <w:szCs w:val="32"/>
        </w:rPr>
        <w:t xml:space="preserve">    </w:t>
      </w:r>
      <w:r>
        <w:rPr>
          <w:rFonts w:ascii="Times New Roman" w:eastAsia="黑体" w:cs="Times New Roman"/>
          <w:color w:val="auto"/>
          <w:kern w:val="2"/>
          <w:sz w:val="32"/>
          <w:szCs w:val="32"/>
        </w:rPr>
        <w:t>五、保障措施</w:t>
      </w:r>
    </w:p>
    <w:p w:rsidR="00754CBB" w:rsidRDefault="00754CBB" w:rsidP="00754CBB">
      <w:pPr>
        <w:pStyle w:val="Default"/>
        <w:tabs>
          <w:tab w:val="left" w:pos="210"/>
        </w:tabs>
        <w:spacing w:line="500" w:lineRule="exact"/>
        <w:ind w:firstLineChars="200" w:firstLine="640"/>
        <w:rPr>
          <w:rFonts w:ascii="Times New Roman" w:cs="Times New Roman"/>
          <w:color w:val="auto"/>
          <w:szCs w:val="32"/>
        </w:rPr>
      </w:pP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明确工作协调机制、责任单位、规划设计团队、责任分工、项目推进机制、配套资金、建成后运营管理单位、宣传推广等保障措施。</w:t>
      </w:r>
    </w:p>
    <w:p w:rsidR="00A12155" w:rsidRPr="00754CBB" w:rsidRDefault="00A12155"/>
    <w:sectPr w:rsidR="00A12155" w:rsidRPr="00754CBB" w:rsidSect="00A12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54CBB"/>
    <w:rsid w:val="00754CBB"/>
    <w:rsid w:val="00A1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4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qFormat/>
    <w:rsid w:val="00754CBB"/>
    <w:rPr>
      <w:rFonts w:eastAsia="仿宋_GB2312"/>
      <w:sz w:val="32"/>
      <w:szCs w:val="20"/>
    </w:rPr>
  </w:style>
  <w:style w:type="character" w:customStyle="1" w:styleId="Char">
    <w:name w:val="正文文本 Char"/>
    <w:basedOn w:val="a1"/>
    <w:link w:val="a4"/>
    <w:rsid w:val="00754CBB"/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rsid w:val="00754CB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font11">
    <w:name w:val="font11"/>
    <w:basedOn w:val="a1"/>
    <w:qFormat/>
    <w:rsid w:val="00754CBB"/>
    <w:rPr>
      <w:rFonts w:ascii="仿宋_GB2312" w:eastAsia="仿宋_GB2312" w:hAnsi="Times New Roman" w:cs="仿宋_GB2312"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sid w:val="00754CBB"/>
    <w:rPr>
      <w:rFonts w:ascii="Times New Roman" w:eastAsia="黑体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sid w:val="00754CBB"/>
    <w:rPr>
      <w:rFonts w:ascii="仿宋_GB2312" w:eastAsia="仿宋_GB2312" w:hAnsi="Times New Roman" w:cs="仿宋_GB2312" w:hint="eastAsia"/>
      <w:color w:val="000000"/>
      <w:sz w:val="32"/>
      <w:szCs w:val="32"/>
      <w:u w:val="none"/>
    </w:rPr>
  </w:style>
  <w:style w:type="paragraph" w:styleId="a0">
    <w:name w:val="Normal Indent"/>
    <w:basedOn w:val="a"/>
    <w:uiPriority w:val="99"/>
    <w:semiHidden/>
    <w:unhideWhenUsed/>
    <w:rsid w:val="00754C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2023-10-10T06:00:00Z</dcterms:created>
  <dcterms:modified xsi:type="dcterms:W3CDTF">2023-10-10T06:00:00Z</dcterms:modified>
</cp:coreProperties>
</file>