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AB53">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w:t>
      </w:r>
      <w:r>
        <w:rPr>
          <w:rFonts w:hint="eastAsia" w:ascii="Times New Roman" w:hAnsi="Times New Roman" w:eastAsia="仿宋_GB2312" w:cs="Times New Roman"/>
          <w:sz w:val="32"/>
          <w:szCs w:val="32"/>
          <w:lang w:val="en-US" w:eastAsia="zh-CN"/>
        </w:rPr>
        <w:t>1</w:t>
      </w:r>
    </w:p>
    <w:p w14:paraId="45B5C1A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380B155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05795D2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468439C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194084C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简体" w:cs="Times New Roman"/>
          <w:sz w:val="32"/>
          <w:szCs w:val="32"/>
        </w:rPr>
      </w:pPr>
    </w:p>
    <w:p w14:paraId="4076DBEE">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textAlignment w:val="auto"/>
        <w:rPr>
          <w:rFonts w:hint="default" w:ascii="Times New Roman" w:hAnsi="Times New Roman" w:eastAsia="方正小标宋简体" w:cs="Times New Roman"/>
          <w:sz w:val="44"/>
          <w:szCs w:val="44"/>
        </w:rPr>
      </w:pPr>
    </w:p>
    <w:p w14:paraId="43724004">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2026年度山东省工业再生资源</w:t>
      </w:r>
    </w:p>
    <w:p w14:paraId="3CF48833">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废钢铁领域</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循环利用</w:t>
      </w:r>
    </w:p>
    <w:p w14:paraId="2DD73FFF">
      <w:pPr>
        <w:keepNext w:val="0"/>
        <w:keepLines w:val="0"/>
        <w:pageBreakBefore w:val="0"/>
        <w:widowControl w:val="0"/>
        <w:shd w:val="clear"/>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节能降碳奖补资金申报书</w:t>
      </w:r>
    </w:p>
    <w:p w14:paraId="47E1A67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A153F7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647204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B97889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0DEEC7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378249F">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7C180D6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申报单位名称：</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（盖章）</w:t>
      </w:r>
    </w:p>
    <w:p w14:paraId="1F7C1E62">
      <w:pPr>
        <w:keepNext w:val="0"/>
        <w:keepLines w:val="0"/>
        <w:pageBreakBefore w:val="0"/>
        <w:widowControl w:val="0"/>
        <w:shd w:val="clear"/>
        <w:kinsoku/>
        <w:wordWrap/>
        <w:overflowPunct/>
        <w:topLinePunct w:val="0"/>
        <w:autoSpaceDE/>
        <w:autoSpaceDN/>
        <w:bidi w:val="0"/>
        <w:adjustRightInd/>
        <w:snapToGrid/>
        <w:spacing w:line="560" w:lineRule="exact"/>
        <w:ind w:firstLine="1212" w:firstLineChars="379"/>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申报类别：废钢铁加工</w:t>
      </w:r>
    </w:p>
    <w:p w14:paraId="17E76EFE">
      <w:pPr>
        <w:keepNext w:val="0"/>
        <w:keepLines w:val="0"/>
        <w:pageBreakBefore w:val="0"/>
        <w:widowControl w:val="0"/>
        <w:shd w:val="clear"/>
        <w:kinsoku/>
        <w:wordWrap/>
        <w:overflowPunct/>
        <w:topLinePunct w:val="0"/>
        <w:autoSpaceDE/>
        <w:autoSpaceDN/>
        <w:bidi w:val="0"/>
        <w:adjustRightInd/>
        <w:snapToGrid/>
        <w:spacing w:line="560" w:lineRule="exact"/>
        <w:ind w:firstLine="1212" w:firstLineChars="379"/>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en-US" w:eastAsia="zh-CN"/>
        </w:rPr>
        <w:t>时间</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14:paraId="2EDC91B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2F712C2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7A49CB8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山东省工业和信息化厅 制</w:t>
      </w:r>
    </w:p>
    <w:p w14:paraId="163D6AB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填报说明</w:t>
      </w:r>
    </w:p>
    <w:p w14:paraId="5124AEC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rPr>
      </w:pPr>
    </w:p>
    <w:p w14:paraId="56394F58">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一、本申报书为申报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山东省工业再生资源</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再生金属</w:t>
      </w:r>
      <w:r>
        <w:rPr>
          <w:rFonts w:hint="eastAsia" w:ascii="Times New Roman" w:hAnsi="Times New Roman" w:eastAsia="仿宋_GB2312" w:cs="Times New Roman"/>
          <w:sz w:val="32"/>
          <w:szCs w:val="32"/>
          <w:lang w:eastAsia="zh-CN"/>
        </w:rPr>
        <w:t>领域）</w:t>
      </w:r>
      <w:r>
        <w:rPr>
          <w:rFonts w:hint="default" w:ascii="Times New Roman" w:hAnsi="Times New Roman" w:eastAsia="仿宋_GB2312" w:cs="Times New Roman"/>
          <w:sz w:val="32"/>
          <w:szCs w:val="32"/>
        </w:rPr>
        <w:t>循环利用节能降碳奖补资金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w:t>
      </w:r>
      <w:r>
        <w:rPr>
          <w:rFonts w:hint="eastAsia" w:ascii="黑体" w:hAnsi="黑体" w:eastAsia="黑体" w:cs="黑体"/>
          <w:sz w:val="32"/>
          <w:szCs w:val="32"/>
          <w:lang w:val="en-US" w:eastAsia="zh-CN"/>
        </w:rPr>
        <w:t>废钢铁加工</w:t>
      </w:r>
      <w:r>
        <w:rPr>
          <w:rFonts w:hint="default" w:ascii="Times New Roman" w:hAnsi="Times New Roman" w:eastAsia="仿宋_GB2312" w:cs="Times New Roman"/>
          <w:sz w:val="32"/>
          <w:szCs w:val="32"/>
        </w:rPr>
        <w:t>企业填写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企业从事领域须为</w:t>
      </w:r>
      <w:r>
        <w:rPr>
          <w:rFonts w:hint="eastAsia" w:ascii="黑体" w:hAnsi="黑体" w:eastAsia="黑体" w:cs="黑体"/>
          <w:sz w:val="32"/>
          <w:szCs w:val="32"/>
          <w:lang w:val="en-US" w:eastAsia="zh-CN"/>
        </w:rPr>
        <w:t>废钢铁加工</w:t>
      </w:r>
      <w:r>
        <w:rPr>
          <w:rFonts w:hint="default" w:ascii="Times New Roman" w:hAnsi="Times New Roman" w:eastAsia="仿宋_GB2312" w:cs="Times New Roman"/>
          <w:sz w:val="32"/>
          <w:szCs w:val="32"/>
        </w:rPr>
        <w:t>。</w:t>
      </w:r>
    </w:p>
    <w:p w14:paraId="78C6EB9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二、申报单位应按照填写要求和实际情况，认真准确填写各项内容。如有虚假填报，撤销其资格，且不得再</w:t>
      </w:r>
      <w:r>
        <w:rPr>
          <w:rFonts w:hint="eastAsia" w:ascii="Times New Roman" w:hAnsi="Times New Roman" w:eastAsia="仿宋_GB2312" w:cs="Times New Roman"/>
          <w:sz w:val="32"/>
          <w:szCs w:val="32"/>
          <w:lang w:val="en-US" w:eastAsia="zh-CN"/>
        </w:rPr>
        <w:t>次</w:t>
      </w:r>
      <w:r>
        <w:rPr>
          <w:rFonts w:hint="default" w:ascii="Times New Roman" w:hAnsi="Times New Roman" w:eastAsia="仿宋_GB2312" w:cs="Times New Roman"/>
          <w:sz w:val="32"/>
          <w:szCs w:val="32"/>
        </w:rPr>
        <w:t>申报。</w:t>
      </w:r>
    </w:p>
    <w:p w14:paraId="7A6DFB5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三、请根据</w:t>
      </w:r>
      <w:r>
        <w:rPr>
          <w:rFonts w:hint="eastAsia" w:ascii="Times New Roman" w:hAnsi="Times New Roman" w:eastAsia="仿宋_GB2312" w:cs="Times New Roman"/>
          <w:sz w:val="32"/>
          <w:szCs w:val="32"/>
          <w:lang w:eastAsia="zh-CN"/>
        </w:rPr>
        <w:t>《山东省工业再生资源循环利用节能降碳奖补资金管理办法及实施细则》</w:t>
      </w:r>
      <w:r>
        <w:rPr>
          <w:rFonts w:hint="eastAsia" w:ascii="Times New Roman" w:hAnsi="Times New Roman" w:eastAsia="仿宋_GB2312" w:cs="Times New Roman"/>
          <w:sz w:val="32"/>
          <w:szCs w:val="32"/>
          <w:lang w:val="en-US" w:eastAsia="zh-CN"/>
        </w:rPr>
        <w:t>及本申报书要求填写</w:t>
      </w:r>
      <w:r>
        <w:rPr>
          <w:rFonts w:hint="default" w:ascii="Times New Roman" w:hAnsi="Times New Roman" w:eastAsia="仿宋_GB2312" w:cs="Times New Roman"/>
          <w:sz w:val="32"/>
          <w:szCs w:val="32"/>
        </w:rPr>
        <w:t>，附相关说明和证明材料。</w:t>
      </w:r>
    </w:p>
    <w:p w14:paraId="44710C1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四、申报书使用A4纸双面印刷，装订成册，一式两份并加盖公章。</w:t>
      </w:r>
    </w:p>
    <w:p w14:paraId="31E478B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C84498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承诺书</w:t>
      </w:r>
    </w:p>
    <w:p w14:paraId="22FD101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FF83E2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我单位郑重承诺，所提交的全部申报资料真实有效、完整准确，不存在任何虚假</w:t>
      </w:r>
      <w:r>
        <w:rPr>
          <w:rFonts w:hint="eastAsia" w:ascii="Times New Roman" w:hAnsi="Times New Roman" w:eastAsia="仿宋_GB2312" w:cs="Times New Roman"/>
          <w:sz w:val="32"/>
          <w:szCs w:val="32"/>
          <w:lang w:val="en-US" w:eastAsia="zh-CN"/>
        </w:rPr>
        <w:t>数据</w:t>
      </w:r>
      <w:r>
        <w:rPr>
          <w:rFonts w:hint="default" w:ascii="Times New Roman" w:hAnsi="Times New Roman" w:eastAsia="仿宋_GB2312" w:cs="Times New Roman"/>
          <w:sz w:val="32"/>
          <w:szCs w:val="32"/>
        </w:rPr>
        <w:t>。</w:t>
      </w:r>
    </w:p>
    <w:p w14:paraId="13AE1DD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我单位符合《山东省工业再生资源循环利用节能降碳奖补资金管理办法及实施细则》要求，202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年以来未发生过生产安全、质量和环境污染事故；无偷税漏税、失信惩戒和不良信用记录等其他违法违规行为。</w:t>
      </w:r>
    </w:p>
    <w:p w14:paraId="57EDCB3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我单位承诺，奖补资金将严格按照规定</w:t>
      </w:r>
      <w:r>
        <w:rPr>
          <w:rFonts w:hint="eastAsia" w:ascii="Times New Roman" w:hAnsi="Times New Roman" w:eastAsia="仿宋_GB2312" w:cs="Times New Roman"/>
          <w:sz w:val="32"/>
          <w:szCs w:val="32"/>
          <w:lang w:val="en-US" w:eastAsia="zh-CN"/>
        </w:rPr>
        <w:t>主要</w:t>
      </w:r>
      <w:r>
        <w:rPr>
          <w:rFonts w:hint="default" w:ascii="Times New Roman" w:hAnsi="Times New Roman" w:eastAsia="仿宋_GB2312" w:cs="Times New Roman"/>
          <w:sz w:val="32"/>
          <w:szCs w:val="32"/>
        </w:rPr>
        <w:t>用于再生资源回收利用体系建设、工艺技术装备升级、能耗和碳排放监测体系建设及绿色低碳技术推广应用等方面。</w:t>
      </w:r>
    </w:p>
    <w:p w14:paraId="27E207E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如违反以上承诺，自愿终止享受有关政策，并依法依规接受约束和惩戒，承担由此带来的所有法律责任。</w:t>
      </w:r>
    </w:p>
    <w:p w14:paraId="7C6034D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C4072F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申报单位（公章）</w:t>
      </w:r>
    </w:p>
    <w:p w14:paraId="3D1E5DE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法定代表人（签字）：</w:t>
      </w:r>
      <w:r>
        <w:rPr>
          <w:rFonts w:hint="eastAsia" w:ascii="Times New Roman" w:hAnsi="Times New Roman" w:eastAsia="仿宋_GB2312" w:cs="Times New Roman"/>
          <w:sz w:val="32"/>
          <w:szCs w:val="32"/>
          <w:lang w:val="en-US" w:eastAsia="zh-CN"/>
        </w:rPr>
        <w:t xml:space="preserve"> </w:t>
      </w:r>
    </w:p>
    <w:p w14:paraId="53BE019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月</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日</w:t>
      </w:r>
    </w:p>
    <w:p w14:paraId="4DF56A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8F1885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14:paraId="4CE6C465">
      <w:pPr>
        <w:shd w:val="clea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E99A8B5">
      <w:pPr>
        <w:pStyle w:val="2"/>
        <w:keepNext w:val="0"/>
        <w:keepLines w:val="0"/>
        <w:widowControl/>
        <w:suppressLineNumbers w:val="0"/>
        <w:shd w:val="clear"/>
        <w:spacing w:before="480" w:beforeAutospacing="0" w:after="240" w:afterAutospacing="0"/>
        <w:ind w:left="0" w:right="0" w:firstLine="0"/>
        <w:jc w:val="cente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rPr>
        <w:t>企业基本</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信息表</w:t>
      </w:r>
    </w:p>
    <w:p w14:paraId="33241EDF">
      <w:pPr>
        <w:keepNext w:val="0"/>
        <w:keepLines w:val="0"/>
        <w:widowControl/>
        <w:suppressLineNumbers w:val="0"/>
        <w:shd w:val="clear"/>
        <w:jc w:val="both"/>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填表人：           联系电话：              联系邮箱：</w:t>
      </w:r>
    </w:p>
    <w:tbl>
      <w:tblPr>
        <w:tblStyle w:val="9"/>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46"/>
        <w:gridCol w:w="3045"/>
        <w:gridCol w:w="1708"/>
        <w:gridCol w:w="2491"/>
      </w:tblGrid>
      <w:tr w14:paraId="7B87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tblHeader/>
          <w:jc w:val="center"/>
        </w:trPr>
        <w:tc>
          <w:tcPr>
            <w:tcW w:w="1846" w:type="dxa"/>
            <w:shd w:val="clear" w:color="auto" w:fill="auto"/>
            <w:tcMar>
              <w:top w:w="150" w:type="dxa"/>
              <w:left w:w="0" w:type="dxa"/>
              <w:bottom w:w="150" w:type="dxa"/>
              <w:right w:w="240" w:type="dxa"/>
            </w:tcMar>
            <w:vAlign w:val="center"/>
          </w:tcPr>
          <w:p w14:paraId="35456D12">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项目</w:t>
            </w:r>
          </w:p>
        </w:tc>
        <w:tc>
          <w:tcPr>
            <w:tcW w:w="3045" w:type="dxa"/>
            <w:shd w:val="clear" w:color="auto" w:fill="auto"/>
            <w:tcMar>
              <w:top w:w="150" w:type="dxa"/>
              <w:left w:w="240" w:type="dxa"/>
              <w:bottom w:w="150" w:type="dxa"/>
              <w:right w:w="240" w:type="dxa"/>
            </w:tcMar>
            <w:vAlign w:val="center"/>
          </w:tcPr>
          <w:p w14:paraId="56E4AFB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内容</w:t>
            </w:r>
          </w:p>
        </w:tc>
        <w:tc>
          <w:tcPr>
            <w:tcW w:w="1708" w:type="dxa"/>
            <w:shd w:val="clear" w:color="auto" w:fill="auto"/>
            <w:tcMar>
              <w:top w:w="150" w:type="dxa"/>
              <w:left w:w="240" w:type="dxa"/>
              <w:bottom w:w="150" w:type="dxa"/>
              <w:right w:w="240" w:type="dxa"/>
            </w:tcMar>
            <w:vAlign w:val="center"/>
          </w:tcPr>
          <w:p w14:paraId="41899BA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项目</w:t>
            </w:r>
          </w:p>
        </w:tc>
        <w:tc>
          <w:tcPr>
            <w:tcW w:w="2491" w:type="dxa"/>
            <w:shd w:val="clear" w:color="auto" w:fill="auto"/>
            <w:tcMar>
              <w:top w:w="150" w:type="dxa"/>
              <w:left w:w="240" w:type="dxa"/>
              <w:bottom w:w="150" w:type="dxa"/>
              <w:right w:w="240" w:type="dxa"/>
            </w:tcMar>
            <w:vAlign w:val="center"/>
          </w:tcPr>
          <w:p w14:paraId="6FE739CD">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kern w:val="0"/>
                <w:sz w:val="28"/>
                <w:szCs w:val="28"/>
                <w:lang w:val="en-US" w:eastAsia="zh-CN" w:bidi="ar"/>
              </w:rPr>
              <w:t>内容</w:t>
            </w:r>
          </w:p>
        </w:tc>
      </w:tr>
      <w:tr w14:paraId="2C7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23357FA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企业名称</w:t>
            </w:r>
          </w:p>
        </w:tc>
        <w:tc>
          <w:tcPr>
            <w:tcW w:w="3045" w:type="dxa"/>
            <w:shd w:val="clear" w:color="auto" w:fill="auto"/>
            <w:tcMar>
              <w:top w:w="150" w:type="dxa"/>
              <w:left w:w="240" w:type="dxa"/>
              <w:bottom w:w="150" w:type="dxa"/>
              <w:right w:w="240" w:type="dxa"/>
            </w:tcMar>
            <w:vAlign w:val="center"/>
          </w:tcPr>
          <w:p w14:paraId="487E9F1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2A7475B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邮编</w:t>
            </w:r>
          </w:p>
        </w:tc>
        <w:tc>
          <w:tcPr>
            <w:tcW w:w="2491" w:type="dxa"/>
            <w:shd w:val="clear" w:color="auto" w:fill="auto"/>
            <w:tcMar>
              <w:top w:w="150" w:type="dxa"/>
              <w:left w:w="240" w:type="dxa"/>
              <w:bottom w:w="150" w:type="dxa"/>
              <w:right w:w="0" w:type="dxa"/>
            </w:tcMar>
            <w:vAlign w:val="center"/>
          </w:tcPr>
          <w:p w14:paraId="23FB4887">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7160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1105399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统一社会信用代码</w:t>
            </w:r>
          </w:p>
        </w:tc>
        <w:tc>
          <w:tcPr>
            <w:tcW w:w="3045" w:type="dxa"/>
            <w:shd w:val="clear" w:color="auto" w:fill="auto"/>
            <w:tcMar>
              <w:top w:w="150" w:type="dxa"/>
              <w:left w:w="240" w:type="dxa"/>
              <w:bottom w:w="150" w:type="dxa"/>
              <w:right w:w="240" w:type="dxa"/>
            </w:tcMar>
            <w:vAlign w:val="center"/>
          </w:tcPr>
          <w:p w14:paraId="332811E3">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3FADBC2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所属行业</w:t>
            </w:r>
          </w:p>
        </w:tc>
        <w:tc>
          <w:tcPr>
            <w:tcW w:w="2491" w:type="dxa"/>
            <w:shd w:val="clear" w:color="auto" w:fill="auto"/>
            <w:tcMar>
              <w:top w:w="150" w:type="dxa"/>
              <w:left w:w="240" w:type="dxa"/>
              <w:bottom w:w="150" w:type="dxa"/>
              <w:right w:w="0" w:type="dxa"/>
            </w:tcMar>
            <w:vAlign w:val="center"/>
          </w:tcPr>
          <w:p w14:paraId="3CA0291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09E7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645DA4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详细地址</w:t>
            </w:r>
          </w:p>
        </w:tc>
        <w:tc>
          <w:tcPr>
            <w:tcW w:w="7244" w:type="dxa"/>
            <w:gridSpan w:val="3"/>
            <w:shd w:val="clear" w:color="auto" w:fill="auto"/>
            <w:tcMar>
              <w:top w:w="150" w:type="dxa"/>
              <w:left w:w="240" w:type="dxa"/>
              <w:bottom w:w="150" w:type="dxa"/>
              <w:right w:w="240" w:type="dxa"/>
            </w:tcMar>
            <w:vAlign w:val="center"/>
          </w:tcPr>
          <w:p w14:paraId="24838609">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5530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31743D6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法定代表人</w:t>
            </w:r>
          </w:p>
        </w:tc>
        <w:tc>
          <w:tcPr>
            <w:tcW w:w="3045" w:type="dxa"/>
            <w:shd w:val="clear" w:color="auto" w:fill="auto"/>
            <w:tcMar>
              <w:top w:w="150" w:type="dxa"/>
              <w:left w:w="240" w:type="dxa"/>
              <w:bottom w:w="150" w:type="dxa"/>
              <w:right w:w="240" w:type="dxa"/>
            </w:tcMar>
            <w:vAlign w:val="center"/>
          </w:tcPr>
          <w:p w14:paraId="0868388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5083AB3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手机</w:t>
            </w:r>
          </w:p>
        </w:tc>
        <w:tc>
          <w:tcPr>
            <w:tcW w:w="2491" w:type="dxa"/>
            <w:shd w:val="clear" w:color="auto" w:fill="auto"/>
            <w:tcMar>
              <w:top w:w="150" w:type="dxa"/>
              <w:left w:w="240" w:type="dxa"/>
              <w:bottom w:w="150" w:type="dxa"/>
              <w:right w:w="0" w:type="dxa"/>
            </w:tcMar>
            <w:vAlign w:val="center"/>
          </w:tcPr>
          <w:p w14:paraId="0F30AC98">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0844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4E8F9ED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传真</w:t>
            </w:r>
          </w:p>
        </w:tc>
        <w:tc>
          <w:tcPr>
            <w:tcW w:w="3045" w:type="dxa"/>
            <w:shd w:val="clear" w:color="auto" w:fill="auto"/>
            <w:tcMar>
              <w:top w:w="150" w:type="dxa"/>
              <w:left w:w="240" w:type="dxa"/>
              <w:bottom w:w="150" w:type="dxa"/>
              <w:right w:w="240" w:type="dxa"/>
            </w:tcMar>
            <w:vAlign w:val="center"/>
          </w:tcPr>
          <w:p w14:paraId="750B9306">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764907EE">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企业邮箱</w:t>
            </w:r>
          </w:p>
        </w:tc>
        <w:tc>
          <w:tcPr>
            <w:tcW w:w="2491" w:type="dxa"/>
            <w:shd w:val="clear" w:color="auto" w:fill="auto"/>
            <w:tcMar>
              <w:top w:w="150" w:type="dxa"/>
              <w:left w:w="240" w:type="dxa"/>
              <w:bottom w:w="150" w:type="dxa"/>
              <w:right w:w="0" w:type="dxa"/>
            </w:tcMar>
            <w:vAlign w:val="center"/>
          </w:tcPr>
          <w:p w14:paraId="6F11011E">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4F6A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70804A0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员工人数</w:t>
            </w:r>
            <w:r>
              <w:rPr>
                <w:rFonts w:hint="eastAsia" w:ascii="Times New Roman" w:hAnsi="Times New Roman" w:eastAsia="宋体" w:cs="Times New Roman"/>
                <w:b w:val="0"/>
                <w:bCs w:val="0"/>
                <w:kern w:val="0"/>
                <w:sz w:val="28"/>
                <w:szCs w:val="28"/>
                <w:lang w:val="en-US" w:eastAsia="zh-CN" w:bidi="ar"/>
              </w:rPr>
              <w:t>（名）</w:t>
            </w:r>
          </w:p>
        </w:tc>
        <w:tc>
          <w:tcPr>
            <w:tcW w:w="3045" w:type="dxa"/>
            <w:shd w:val="clear" w:color="auto" w:fill="auto"/>
            <w:tcMar>
              <w:top w:w="150" w:type="dxa"/>
              <w:left w:w="240" w:type="dxa"/>
              <w:bottom w:w="150" w:type="dxa"/>
              <w:right w:w="240" w:type="dxa"/>
            </w:tcMar>
            <w:vAlign w:val="center"/>
          </w:tcPr>
          <w:p w14:paraId="710B8902">
            <w:pPr>
              <w:keepNext w:val="0"/>
              <w:keepLines w:val="0"/>
              <w:pageBreakBefore w:val="0"/>
              <w:widowControl/>
              <w:suppressLineNumbers w:val="0"/>
              <w:shd w:val="clear"/>
              <w:kinsoku/>
              <w:wordWrap/>
              <w:overflowPunct/>
              <w:topLinePunct w:val="0"/>
              <w:autoSpaceDE/>
              <w:autoSpaceDN/>
              <w:bidi w:val="0"/>
              <w:adjustRightInd w:val="0"/>
              <w:snapToGrid w:val="0"/>
              <w:ind w:firstLine="1120" w:firstLineChars="40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50F3259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技术人员数量</w:t>
            </w:r>
            <w:r>
              <w:rPr>
                <w:rFonts w:hint="eastAsia" w:ascii="Times New Roman" w:hAnsi="Times New Roman" w:eastAsia="宋体" w:cs="Times New Roman"/>
                <w:b w:val="0"/>
                <w:bCs w:val="0"/>
                <w:kern w:val="0"/>
                <w:sz w:val="28"/>
                <w:szCs w:val="28"/>
                <w:lang w:val="en-US" w:eastAsia="zh-CN" w:bidi="ar"/>
              </w:rPr>
              <w:t>（名）</w:t>
            </w:r>
          </w:p>
        </w:tc>
        <w:tc>
          <w:tcPr>
            <w:tcW w:w="2491" w:type="dxa"/>
            <w:shd w:val="clear" w:color="auto" w:fill="auto"/>
            <w:tcMar>
              <w:top w:w="150" w:type="dxa"/>
              <w:left w:w="240" w:type="dxa"/>
              <w:bottom w:w="150" w:type="dxa"/>
              <w:right w:w="0" w:type="dxa"/>
            </w:tcMar>
            <w:vAlign w:val="center"/>
          </w:tcPr>
          <w:p w14:paraId="5CE9C6AD">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r>
      <w:tr w14:paraId="1F58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5BD2115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default" w:ascii="Times New Roman" w:hAnsi="Times New Roman" w:eastAsia="宋体" w:cs="Times New Roman"/>
                <w:b w:val="0"/>
                <w:bCs w:val="0"/>
                <w:kern w:val="0"/>
                <w:sz w:val="28"/>
                <w:szCs w:val="28"/>
                <w:lang w:val="en-US" w:eastAsia="zh-CN" w:bidi="ar"/>
              </w:rPr>
              <w:t>企业</w:t>
            </w:r>
            <w:r>
              <w:rPr>
                <w:rFonts w:hint="eastAsia" w:ascii="Times New Roman" w:hAnsi="Times New Roman" w:eastAsia="宋体" w:cs="Times New Roman"/>
                <w:b w:val="0"/>
                <w:bCs w:val="0"/>
                <w:kern w:val="0"/>
                <w:sz w:val="28"/>
                <w:szCs w:val="28"/>
                <w:lang w:val="en-US" w:eastAsia="zh-CN" w:bidi="ar"/>
              </w:rPr>
              <w:t>业务</w:t>
            </w:r>
          </w:p>
          <w:p w14:paraId="4A35A13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范围</w:t>
            </w:r>
          </w:p>
        </w:tc>
        <w:tc>
          <w:tcPr>
            <w:tcW w:w="7244" w:type="dxa"/>
            <w:gridSpan w:val="3"/>
            <w:shd w:val="clear" w:color="auto" w:fill="auto"/>
            <w:tcMar>
              <w:top w:w="150" w:type="dxa"/>
              <w:left w:w="240" w:type="dxa"/>
              <w:bottom w:w="150" w:type="dxa"/>
              <w:right w:w="240" w:type="dxa"/>
            </w:tcMar>
            <w:vAlign w:val="center"/>
          </w:tcPr>
          <w:p w14:paraId="55E73A33">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□废钢铁   □废铜</w:t>
            </w:r>
            <w:r>
              <w:rPr>
                <w:rFonts w:hint="default" w:ascii="Times New Roman" w:hAnsi="Times New Roman" w:eastAsia="宋体" w:cs="Times New Roman"/>
                <w:b w:val="0"/>
                <w:bCs w:val="0"/>
                <w:kern w:val="0"/>
                <w:sz w:val="28"/>
                <w:szCs w:val="28"/>
                <w:lang w:val="en-US" w:eastAsia="zh-CN" w:bidi="ar"/>
              </w:rPr>
              <w:t xml:space="preserve"> </w:t>
            </w:r>
            <w:r>
              <w:rPr>
                <w:rFonts w:hint="eastAsia" w:ascii="Times New Roman" w:hAnsi="Times New Roman" w:eastAsia="宋体" w:cs="Times New Roman"/>
                <w:b w:val="0"/>
                <w:bCs w:val="0"/>
                <w:kern w:val="0"/>
                <w:sz w:val="28"/>
                <w:szCs w:val="28"/>
                <w:lang w:val="en-US" w:eastAsia="zh-CN" w:bidi="ar"/>
              </w:rPr>
              <w:t xml:space="preserve">  □废铝</w:t>
            </w:r>
          </w:p>
        </w:tc>
      </w:tr>
      <w:tr w14:paraId="38AB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11B3B98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注册</w:t>
            </w:r>
            <w:r>
              <w:rPr>
                <w:rFonts w:hint="eastAsia" w:ascii="Times New Roman" w:hAnsi="Times New Roman" w:eastAsia="宋体" w:cs="Times New Roman"/>
                <w:b w:val="0"/>
                <w:bCs w:val="0"/>
                <w:kern w:val="0"/>
                <w:sz w:val="28"/>
                <w:szCs w:val="28"/>
                <w:lang w:val="en-US" w:eastAsia="zh-CN" w:bidi="ar"/>
              </w:rPr>
              <w:t>资金</w:t>
            </w:r>
            <w:r>
              <w:rPr>
                <w:rFonts w:hint="eastAsia" w:ascii="Times New Roman" w:hAnsi="Times New Roman" w:eastAsia="宋体" w:cs="Times New Roman"/>
                <w:b w:val="0"/>
                <w:bCs w:val="0"/>
                <w:kern w:val="0"/>
                <w:sz w:val="28"/>
                <w:szCs w:val="28"/>
                <w:lang w:val="en-US" w:eastAsia="zh-CN" w:bidi="ar"/>
              </w:rPr>
              <w:br w:type="textWrapping"/>
            </w: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万元</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400011CC">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74340B9C">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kern w:val="0"/>
                <w:sz w:val="28"/>
                <w:szCs w:val="28"/>
                <w:lang w:val="en-US" w:eastAsia="zh-CN" w:bidi="ar"/>
              </w:rPr>
            </w:pPr>
            <w:r>
              <w:rPr>
                <w:rFonts w:hint="default" w:ascii="Times New Roman" w:hAnsi="Times New Roman" w:eastAsia="宋体" w:cs="Times New Roman"/>
                <w:b w:val="0"/>
                <w:bCs w:val="0"/>
                <w:kern w:val="0"/>
                <w:sz w:val="28"/>
                <w:szCs w:val="28"/>
                <w:lang w:val="en-US" w:eastAsia="zh-CN" w:bidi="ar"/>
              </w:rPr>
              <w:t>实缴</w:t>
            </w:r>
            <w:r>
              <w:rPr>
                <w:rFonts w:hint="eastAsia" w:ascii="Times New Roman" w:hAnsi="Times New Roman" w:eastAsia="宋体" w:cs="Times New Roman"/>
                <w:b w:val="0"/>
                <w:bCs w:val="0"/>
                <w:kern w:val="0"/>
                <w:sz w:val="28"/>
                <w:szCs w:val="28"/>
                <w:lang w:val="en-US" w:eastAsia="zh-CN" w:bidi="ar"/>
              </w:rPr>
              <w:t>资金</w:t>
            </w:r>
          </w:p>
          <w:p w14:paraId="40CA7246">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万元</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5D6BE2B7">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r>
      <w:tr w14:paraId="2A1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315DB4C4">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批复产能</w:t>
            </w:r>
          </w:p>
          <w:p w14:paraId="66575F86">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0B3581E2">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47F61FF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实际产能</w:t>
            </w:r>
          </w:p>
          <w:p w14:paraId="1E277E5A">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374FCB27">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b w:val="0"/>
                <w:bCs w:val="0"/>
                <w:sz w:val="28"/>
                <w:szCs w:val="28"/>
              </w:rPr>
            </w:pPr>
          </w:p>
        </w:tc>
      </w:tr>
      <w:tr w14:paraId="118E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CB9215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综合利用量</w:t>
            </w:r>
          </w:p>
          <w:p w14:paraId="198A4E8B">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b w:val="0"/>
                <w:bCs w:val="0"/>
                <w:kern w:val="0"/>
                <w:sz w:val="28"/>
                <w:szCs w:val="28"/>
                <w:lang w:val="en-US" w:eastAsia="zh-CN" w:bidi="ar"/>
              </w:rPr>
              <w:t>万吨</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5767A42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3B6DBC82">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第一个核算周期内产能利用率（%）</w:t>
            </w:r>
          </w:p>
        </w:tc>
        <w:tc>
          <w:tcPr>
            <w:tcW w:w="2491" w:type="dxa"/>
            <w:shd w:val="clear" w:color="auto" w:fill="auto"/>
            <w:tcMar>
              <w:top w:w="150" w:type="dxa"/>
              <w:left w:w="240" w:type="dxa"/>
              <w:bottom w:w="150" w:type="dxa"/>
              <w:right w:w="0" w:type="dxa"/>
            </w:tcMar>
            <w:vAlign w:val="center"/>
          </w:tcPr>
          <w:p w14:paraId="10BC9F7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r>
      <w:tr w14:paraId="52A2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08A7564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企业营业收入</w:t>
            </w:r>
          </w:p>
          <w:p w14:paraId="27F5EE3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kern w:val="0"/>
                <w:sz w:val="28"/>
                <w:szCs w:val="28"/>
                <w:lang w:val="en-US" w:eastAsia="zh-CN" w:bidi="ar"/>
              </w:rPr>
              <w:t>万元</w:t>
            </w:r>
            <w:r>
              <w:rPr>
                <w:rFonts w:hint="eastAsia" w:ascii="Times New Roman" w:hAnsi="Times New Roman" w:eastAsia="宋体" w:cs="Times New Roman"/>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19735195">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c>
          <w:tcPr>
            <w:tcW w:w="1708" w:type="dxa"/>
            <w:shd w:val="clear" w:color="auto" w:fill="auto"/>
            <w:tcMar>
              <w:top w:w="150" w:type="dxa"/>
              <w:left w:w="240" w:type="dxa"/>
              <w:bottom w:w="150" w:type="dxa"/>
              <w:right w:w="240" w:type="dxa"/>
            </w:tcMar>
            <w:vAlign w:val="center"/>
          </w:tcPr>
          <w:p w14:paraId="486C600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eastAsia" w:ascii="Times New Roman" w:hAnsi="Times New Roman" w:eastAsia="宋体" w:cs="Times New Roman"/>
                <w:b w:val="0"/>
                <w:bCs w:val="0"/>
                <w:kern w:val="0"/>
                <w:sz w:val="28"/>
                <w:szCs w:val="28"/>
                <w:lang w:val="en-US" w:eastAsia="zh-CN" w:bidi="ar"/>
              </w:rPr>
              <w:t>第一个核算周期内</w:t>
            </w:r>
            <w:r>
              <w:rPr>
                <w:rFonts w:hint="default" w:ascii="Times New Roman" w:hAnsi="Times New Roman" w:eastAsia="宋体" w:cs="Times New Roman"/>
                <w:b w:val="0"/>
                <w:bCs w:val="0"/>
                <w:kern w:val="0"/>
                <w:sz w:val="28"/>
                <w:szCs w:val="28"/>
                <w:lang w:val="en-US" w:eastAsia="zh-CN" w:bidi="ar"/>
              </w:rPr>
              <w:t>利润总额</w:t>
            </w:r>
            <w:r>
              <w:rPr>
                <w:rFonts w:hint="eastAsia" w:ascii="Times New Roman" w:hAnsi="Times New Roman" w:eastAsia="宋体" w:cs="Times New Roman"/>
                <w:b w:val="0"/>
                <w:bCs w:val="0"/>
                <w:kern w:val="0"/>
                <w:sz w:val="28"/>
                <w:szCs w:val="28"/>
                <w:lang w:val="en-US" w:eastAsia="zh-CN" w:bidi="ar"/>
              </w:rPr>
              <w:t>（</w:t>
            </w:r>
            <w:r>
              <w:rPr>
                <w:rFonts w:hint="default" w:ascii="Times New Roman" w:hAnsi="Times New Roman" w:eastAsia="宋体" w:cs="Times New Roman"/>
                <w:kern w:val="0"/>
                <w:sz w:val="28"/>
                <w:szCs w:val="28"/>
                <w:lang w:val="en-US" w:eastAsia="zh-CN" w:bidi="ar"/>
              </w:rPr>
              <w:t>万元</w:t>
            </w:r>
            <w:r>
              <w:rPr>
                <w:rFonts w:hint="eastAsia" w:ascii="Times New Roman" w:hAnsi="Times New Roman" w:eastAsia="宋体" w:cs="Times New Roman"/>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2E436707">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p>
        </w:tc>
      </w:tr>
      <w:tr w14:paraId="2E8D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6767C019">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lang w:val="en-US"/>
              </w:rPr>
            </w:pPr>
            <w:r>
              <w:rPr>
                <w:rFonts w:hint="default" w:ascii="Times New Roman" w:hAnsi="Times New Roman" w:eastAsia="宋体" w:cs="Times New Roman"/>
                <w:b w:val="0"/>
                <w:bCs w:val="0"/>
                <w:kern w:val="0"/>
                <w:sz w:val="28"/>
                <w:szCs w:val="28"/>
                <w:lang w:val="en-US" w:eastAsia="zh-CN" w:bidi="ar"/>
              </w:rPr>
              <w:t>厂区面积</w:t>
            </w:r>
            <w:r>
              <w:rPr>
                <w:rFonts w:hint="eastAsia" w:ascii="Times New Roman" w:hAnsi="Times New Roman" w:eastAsia="宋体" w:cs="Times New Roman"/>
                <w:b w:val="0"/>
                <w:bCs w:val="0"/>
                <w:kern w:val="0"/>
                <w:sz w:val="28"/>
                <w:szCs w:val="28"/>
                <w:lang w:val="en-US" w:eastAsia="zh-CN" w:bidi="ar"/>
              </w:rPr>
              <w:t>（㎡）</w:t>
            </w:r>
          </w:p>
        </w:tc>
        <w:tc>
          <w:tcPr>
            <w:tcW w:w="3045" w:type="dxa"/>
            <w:shd w:val="clear" w:color="auto" w:fill="auto"/>
            <w:tcMar>
              <w:top w:w="150" w:type="dxa"/>
              <w:left w:w="240" w:type="dxa"/>
              <w:bottom w:w="150" w:type="dxa"/>
              <w:right w:w="240" w:type="dxa"/>
            </w:tcMar>
            <w:vAlign w:val="center"/>
          </w:tcPr>
          <w:p w14:paraId="54698670">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p>
        </w:tc>
        <w:tc>
          <w:tcPr>
            <w:tcW w:w="1708" w:type="dxa"/>
            <w:shd w:val="clear" w:color="auto" w:fill="auto"/>
            <w:tcMar>
              <w:top w:w="150" w:type="dxa"/>
              <w:left w:w="240" w:type="dxa"/>
              <w:bottom w:w="150" w:type="dxa"/>
              <w:right w:w="240" w:type="dxa"/>
            </w:tcMar>
            <w:vAlign w:val="center"/>
          </w:tcPr>
          <w:p w14:paraId="6922E64F">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sz w:val="28"/>
                <w:szCs w:val="28"/>
              </w:rPr>
            </w:pPr>
            <w:r>
              <w:rPr>
                <w:rFonts w:hint="default" w:ascii="Times New Roman" w:hAnsi="Times New Roman" w:eastAsia="宋体" w:cs="Times New Roman"/>
                <w:b w:val="0"/>
                <w:bCs w:val="0"/>
                <w:kern w:val="0"/>
                <w:sz w:val="28"/>
                <w:szCs w:val="28"/>
                <w:lang w:val="en-US" w:eastAsia="zh-CN" w:bidi="ar"/>
              </w:rPr>
              <w:t>作业场地面积</w:t>
            </w:r>
            <w:r>
              <w:rPr>
                <w:rFonts w:hint="eastAsia" w:ascii="Times New Roman" w:hAnsi="Times New Roman" w:eastAsia="宋体" w:cs="Times New Roman"/>
                <w:b w:val="0"/>
                <w:bCs w:val="0"/>
                <w:kern w:val="0"/>
                <w:sz w:val="28"/>
                <w:szCs w:val="28"/>
                <w:lang w:val="en-US" w:eastAsia="zh-CN" w:bidi="ar"/>
              </w:rPr>
              <w:t>（㎡）</w:t>
            </w:r>
          </w:p>
        </w:tc>
        <w:tc>
          <w:tcPr>
            <w:tcW w:w="2491" w:type="dxa"/>
            <w:shd w:val="clear" w:color="auto" w:fill="auto"/>
            <w:tcMar>
              <w:top w:w="150" w:type="dxa"/>
              <w:left w:w="240" w:type="dxa"/>
              <w:bottom w:w="150" w:type="dxa"/>
              <w:right w:w="0" w:type="dxa"/>
            </w:tcMar>
            <w:vAlign w:val="center"/>
          </w:tcPr>
          <w:p w14:paraId="0D6F4AB8">
            <w:pPr>
              <w:keepNext w:val="0"/>
              <w:keepLines w:val="0"/>
              <w:pageBreakBefore w:val="0"/>
              <w:widowControl/>
              <w:suppressLineNumbers w:val="0"/>
              <w:shd w:val="clear"/>
              <w:kinsoku/>
              <w:wordWrap/>
              <w:overflowPunct/>
              <w:topLinePunct w:val="0"/>
              <w:autoSpaceDE/>
              <w:autoSpaceDN/>
              <w:bidi w:val="0"/>
              <w:adjustRightInd w:val="0"/>
              <w:snapToGrid w:val="0"/>
              <w:jc w:val="left"/>
              <w:textAlignment w:val="auto"/>
              <w:rPr>
                <w:rFonts w:hint="default" w:ascii="Times New Roman" w:hAnsi="Times New Roman" w:eastAsia="宋体" w:cs="Times New Roman"/>
                <w:sz w:val="28"/>
                <w:szCs w:val="28"/>
              </w:rPr>
            </w:pPr>
          </w:p>
        </w:tc>
      </w:tr>
      <w:tr w14:paraId="1E3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60D89408">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8"/>
                <w:szCs w:val="28"/>
              </w:rPr>
            </w:pPr>
            <w:r>
              <w:rPr>
                <w:rFonts w:hint="eastAsia" w:ascii="Times New Roman" w:hAnsi="Times New Roman" w:eastAsia="宋体" w:cs="Times New Roman"/>
                <w:b w:val="0"/>
                <w:bCs w:val="0"/>
                <w:kern w:val="0"/>
                <w:sz w:val="28"/>
                <w:szCs w:val="28"/>
                <w:lang w:val="en-US" w:eastAsia="zh-CN" w:bidi="ar"/>
              </w:rPr>
              <w:t>省级以上荣誉</w:t>
            </w:r>
            <w:r>
              <w:rPr>
                <w:rFonts w:hint="default" w:ascii="Times New Roman" w:hAnsi="Times New Roman" w:eastAsia="宋体" w:cs="Times New Roman"/>
                <w:b w:val="0"/>
                <w:bCs w:val="0"/>
                <w:kern w:val="0"/>
                <w:sz w:val="28"/>
                <w:szCs w:val="28"/>
                <w:lang w:val="en-US" w:eastAsia="zh-CN" w:bidi="ar"/>
              </w:rPr>
              <w:t>资质</w:t>
            </w:r>
          </w:p>
        </w:tc>
        <w:tc>
          <w:tcPr>
            <w:tcW w:w="7244" w:type="dxa"/>
            <w:gridSpan w:val="3"/>
            <w:shd w:val="clear" w:color="auto" w:fill="auto"/>
            <w:tcMar>
              <w:top w:w="150" w:type="dxa"/>
              <w:left w:w="240" w:type="dxa"/>
              <w:bottom w:w="150" w:type="dxa"/>
              <w:right w:w="240" w:type="dxa"/>
            </w:tcMar>
            <w:vAlign w:val="center"/>
          </w:tcPr>
          <w:p w14:paraId="24ADF76C">
            <w:pPr>
              <w:keepNext w:val="0"/>
              <w:keepLines w:val="0"/>
              <w:pageBreakBefore w:val="0"/>
              <w:shd w:val="clear"/>
              <w:kinsoku/>
              <w:wordWrap/>
              <w:overflowPunct/>
              <w:topLinePunct w:val="0"/>
              <w:autoSpaceDE/>
              <w:autoSpaceDN/>
              <w:bidi w:val="0"/>
              <w:adjustRightInd w:val="0"/>
              <w:snapToGrid w:val="0"/>
              <w:textAlignment w:val="auto"/>
              <w:rPr>
                <w:rFonts w:hint="default" w:ascii="Times New Roman" w:hAnsi="Times New Roman" w:eastAsia="宋体" w:cs="Times New Roman"/>
                <w:sz w:val="28"/>
                <w:szCs w:val="28"/>
              </w:rPr>
            </w:pPr>
            <w:r>
              <w:rPr>
                <w:rFonts w:hint="eastAsia" w:ascii="宋体" w:hAnsi="宋体" w:eastAsia="宋体" w:cs="宋体"/>
                <w:kern w:val="0"/>
                <w:sz w:val="28"/>
                <w:szCs w:val="28"/>
                <w:lang w:val="en-US" w:eastAsia="zh-CN" w:bidi="ar"/>
              </w:rPr>
              <w:t>□是，具有________资质/荣誉   □否</w:t>
            </w:r>
          </w:p>
        </w:tc>
      </w:tr>
      <w:tr w14:paraId="0146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jc w:val="center"/>
        </w:trPr>
        <w:tc>
          <w:tcPr>
            <w:tcW w:w="1846" w:type="dxa"/>
            <w:shd w:val="clear" w:color="auto" w:fill="auto"/>
            <w:tcMar>
              <w:top w:w="150" w:type="dxa"/>
              <w:left w:w="0" w:type="dxa"/>
              <w:bottom w:w="150" w:type="dxa"/>
              <w:right w:w="240" w:type="dxa"/>
            </w:tcMar>
            <w:vAlign w:val="center"/>
          </w:tcPr>
          <w:p w14:paraId="284EDD73">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kern w:val="0"/>
                <w:sz w:val="28"/>
                <w:szCs w:val="28"/>
                <w:lang w:val="en-US" w:eastAsia="zh-CN" w:bidi="ar"/>
              </w:rPr>
            </w:pPr>
            <w:r>
              <w:rPr>
                <w:rFonts w:hint="default" w:ascii="Times New Roman" w:hAnsi="Times New Roman" w:cs="Times New Roman"/>
                <w:spacing w:val="0"/>
                <w:sz w:val="28"/>
                <w:szCs w:val="28"/>
              </w:rPr>
              <w:t>纳入工业和信息化部发布的</w:t>
            </w:r>
            <w:r>
              <w:rPr>
                <w:rFonts w:hint="eastAsia" w:cs="Times New Roman"/>
                <w:spacing w:val="0"/>
                <w:sz w:val="28"/>
                <w:szCs w:val="28"/>
                <w:lang w:eastAsia="zh-CN"/>
              </w:rPr>
              <w:t>相关规范条件</w:t>
            </w:r>
            <w:r>
              <w:rPr>
                <w:rFonts w:hint="eastAsia" w:cs="Times New Roman"/>
                <w:spacing w:val="0"/>
                <w:sz w:val="28"/>
                <w:szCs w:val="28"/>
                <w:lang w:val="en-US" w:eastAsia="zh-CN"/>
              </w:rPr>
              <w:t>情况</w:t>
            </w:r>
          </w:p>
        </w:tc>
        <w:tc>
          <w:tcPr>
            <w:tcW w:w="7244" w:type="dxa"/>
            <w:gridSpan w:val="3"/>
            <w:shd w:val="clear" w:color="auto" w:fill="auto"/>
            <w:tcMar>
              <w:top w:w="150" w:type="dxa"/>
              <w:left w:w="240" w:type="dxa"/>
              <w:bottom w:w="150" w:type="dxa"/>
              <w:right w:w="240" w:type="dxa"/>
            </w:tcMar>
            <w:vAlign w:val="center"/>
          </w:tcPr>
          <w:p w14:paraId="59FE9AAD">
            <w:pPr>
              <w:keepNext w:val="0"/>
              <w:keepLines w:val="0"/>
              <w:pageBreakBefore w:val="0"/>
              <w:shd w:val="clear"/>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8"/>
                <w:szCs w:val="28"/>
                <w:lang w:val="en-US" w:eastAsia="zh-CN" w:bidi="ar-SA"/>
              </w:rPr>
            </w:pPr>
            <w:r>
              <w:rPr>
                <w:rFonts w:hint="eastAsia" w:ascii="宋体" w:hAnsi="宋体" w:eastAsia="宋体" w:cs="宋体"/>
                <w:kern w:val="0"/>
                <w:sz w:val="28"/>
                <w:szCs w:val="28"/>
                <w:lang w:val="en-US" w:eastAsia="zh-CN" w:bidi="ar"/>
              </w:rPr>
              <w:t>□是      □否</w:t>
            </w:r>
          </w:p>
        </w:tc>
      </w:tr>
      <w:tr w14:paraId="2832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cantSplit/>
          <w:trHeight w:val="4671" w:hRule="atLeast"/>
          <w:jc w:val="center"/>
        </w:trPr>
        <w:tc>
          <w:tcPr>
            <w:tcW w:w="1846" w:type="dxa"/>
            <w:shd w:val="clear" w:color="auto" w:fill="auto"/>
            <w:tcMar>
              <w:top w:w="150" w:type="dxa"/>
              <w:left w:w="0" w:type="dxa"/>
              <w:bottom w:w="150" w:type="dxa"/>
              <w:right w:w="240" w:type="dxa"/>
            </w:tcMar>
            <w:vAlign w:val="center"/>
          </w:tcPr>
          <w:p w14:paraId="0CDD007C">
            <w:pPr>
              <w:keepNext w:val="0"/>
              <w:keepLines w:val="0"/>
              <w:pageBreakBefore w:val="0"/>
              <w:widowControl/>
              <w:suppressLineNumbers w:val="0"/>
              <w:shd w:val="clear"/>
              <w:kinsoku/>
              <w:wordWrap/>
              <w:overflowPunct/>
              <w:topLinePunct w:val="0"/>
              <w:autoSpaceDE/>
              <w:autoSpaceDN/>
              <w:bidi w:val="0"/>
              <w:adjustRightInd w:val="0"/>
              <w:snapToGrid w:val="0"/>
              <w:jc w:val="center"/>
              <w:textAlignment w:val="auto"/>
              <w:rPr>
                <w:rFonts w:hint="default" w:ascii="Times New Roman" w:hAnsi="Times New Roman" w:cs="Times New Roman" w:eastAsiaTheme="minorEastAsia"/>
                <w:spacing w:val="0"/>
                <w:sz w:val="28"/>
                <w:szCs w:val="28"/>
                <w:lang w:val="en-US" w:eastAsia="zh-CN"/>
              </w:rPr>
            </w:pPr>
            <w:r>
              <w:rPr>
                <w:rFonts w:hint="eastAsia" w:ascii="Times New Roman" w:hAnsi="Times New Roman" w:cs="Times New Roman"/>
                <w:spacing w:val="0"/>
                <w:sz w:val="28"/>
                <w:szCs w:val="28"/>
                <w:lang w:val="en-US" w:eastAsia="zh-CN"/>
              </w:rPr>
              <w:t>企业简介</w:t>
            </w:r>
            <w:r>
              <w:rPr>
                <w:rFonts w:hint="eastAsia" w:ascii="Times New Roman" w:hAnsi="Times New Roman" w:cs="Times New Roman"/>
                <w:spacing w:val="0"/>
                <w:sz w:val="28"/>
                <w:szCs w:val="28"/>
                <w:lang w:val="en-US" w:eastAsia="zh-CN"/>
              </w:rPr>
              <w:br w:type="textWrapping"/>
            </w:r>
            <w:r>
              <w:rPr>
                <w:rFonts w:hint="eastAsia" w:ascii="Times New Roman" w:hAnsi="Times New Roman" w:cs="Times New Roman"/>
                <w:spacing w:val="0"/>
                <w:sz w:val="28"/>
                <w:szCs w:val="28"/>
                <w:lang w:val="en-US" w:eastAsia="zh-CN"/>
              </w:rPr>
              <w:t>（200字以内）</w:t>
            </w:r>
          </w:p>
        </w:tc>
        <w:tc>
          <w:tcPr>
            <w:tcW w:w="7244" w:type="dxa"/>
            <w:gridSpan w:val="3"/>
            <w:shd w:val="clear" w:color="auto" w:fill="auto"/>
            <w:tcMar>
              <w:top w:w="150" w:type="dxa"/>
              <w:left w:w="240" w:type="dxa"/>
              <w:bottom w:w="150" w:type="dxa"/>
              <w:right w:w="240" w:type="dxa"/>
            </w:tcMar>
            <w:vAlign w:val="center"/>
          </w:tcPr>
          <w:p w14:paraId="15E83AED">
            <w:pPr>
              <w:keepNext w:val="0"/>
              <w:keepLines w:val="0"/>
              <w:pageBreakBefore w:val="0"/>
              <w:shd w:val="clear"/>
              <w:kinsoku/>
              <w:wordWrap/>
              <w:overflowPunct/>
              <w:topLinePunct w:val="0"/>
              <w:autoSpaceDE/>
              <w:autoSpaceDN/>
              <w:bidi w:val="0"/>
              <w:adjustRightInd w:val="0"/>
              <w:snapToGrid w:val="0"/>
              <w:textAlignment w:val="auto"/>
              <w:rPr>
                <w:rFonts w:hint="default" w:ascii="Times New Roman" w:hAnsi="Times New Roman" w:eastAsia="宋体" w:cs="Times New Roman"/>
                <w:kern w:val="0"/>
                <w:sz w:val="28"/>
                <w:szCs w:val="28"/>
                <w:lang w:val="en-US" w:eastAsia="zh-CN" w:bidi="ar"/>
              </w:rPr>
            </w:pPr>
          </w:p>
        </w:tc>
      </w:tr>
    </w:tbl>
    <w:p w14:paraId="4B0D20F8">
      <w:pPr>
        <w:shd w:val="clear"/>
        <w:rPr>
          <w:rFonts w:hint="default" w:ascii="Times New Roman" w:hAnsi="Times New Roman" w:eastAsia="黑体" w:cs="Times New Roman"/>
          <w:b w:val="0"/>
          <w:bCs w:val="0"/>
          <w:i w:val="0"/>
          <w:iCs w:val="0"/>
          <w:caps w:val="0"/>
          <w:color w:val="0F1115"/>
          <w:spacing w:val="0"/>
          <w:sz w:val="32"/>
          <w:szCs w:val="32"/>
          <w:shd w:val="clear" w:fill="FFFFFF"/>
        </w:rPr>
      </w:pPr>
      <w:r>
        <w:rPr>
          <w:rFonts w:hint="default" w:ascii="Times New Roman" w:hAnsi="Times New Roman" w:eastAsia="黑体" w:cs="Times New Roman"/>
          <w:b w:val="0"/>
          <w:bCs w:val="0"/>
          <w:i w:val="0"/>
          <w:iCs w:val="0"/>
          <w:caps w:val="0"/>
          <w:color w:val="0F1115"/>
          <w:spacing w:val="0"/>
          <w:sz w:val="32"/>
          <w:szCs w:val="32"/>
          <w:shd w:val="clear" w:fill="FFFFFF"/>
        </w:rPr>
        <w:br w:type="page"/>
      </w:r>
    </w:p>
    <w:p w14:paraId="6EE7A108">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黑体" w:cs="Times New Roman"/>
          <w:b w:val="0"/>
          <w:bCs w:val="0"/>
          <w:i w:val="0"/>
          <w:iCs w:val="0"/>
          <w:caps w:val="0"/>
          <w:color w:val="0F1115"/>
          <w:spacing w:val="0"/>
          <w:sz w:val="36"/>
          <w:szCs w:val="36"/>
          <w:shd w:val="clear" w:fill="FFFFFF"/>
        </w:rPr>
      </w:pPr>
      <w:r>
        <w:rPr>
          <w:rFonts w:hint="eastAsia" w:ascii="Times New Roman" w:hAnsi="Times New Roman" w:eastAsia="黑体" w:cs="Times New Roman"/>
          <w:b w:val="0"/>
          <w:bCs w:val="0"/>
          <w:i w:val="0"/>
          <w:iCs w:val="0"/>
          <w:caps w:val="0"/>
          <w:color w:val="0F1115"/>
          <w:spacing w:val="0"/>
          <w:sz w:val="36"/>
          <w:szCs w:val="36"/>
          <w:shd w:val="clear" w:fill="FFFFFF"/>
          <w:lang w:eastAsia="zh-CN"/>
        </w:rPr>
        <w:t>2026</w:t>
      </w:r>
      <w:r>
        <w:rPr>
          <w:rFonts w:hint="default" w:ascii="Times New Roman" w:hAnsi="Times New Roman" w:eastAsia="黑体" w:cs="Times New Roman"/>
          <w:b w:val="0"/>
          <w:bCs w:val="0"/>
          <w:i w:val="0"/>
          <w:iCs w:val="0"/>
          <w:caps w:val="0"/>
          <w:color w:val="0F1115"/>
          <w:spacing w:val="0"/>
          <w:sz w:val="36"/>
          <w:szCs w:val="36"/>
          <w:shd w:val="clear" w:fill="FFFFFF"/>
        </w:rPr>
        <w:t>年度山东省工业再生资源（</w:t>
      </w:r>
      <w:r>
        <w:rPr>
          <w:rFonts w:hint="eastAsia" w:ascii="Times New Roman" w:hAnsi="Times New Roman" w:eastAsia="黑体" w:cs="Times New Roman"/>
          <w:b w:val="0"/>
          <w:bCs w:val="0"/>
          <w:i w:val="0"/>
          <w:iCs w:val="0"/>
          <w:caps w:val="0"/>
          <w:color w:val="0F1115"/>
          <w:spacing w:val="0"/>
          <w:sz w:val="36"/>
          <w:szCs w:val="36"/>
          <w:shd w:val="clear" w:fill="FFFFFF"/>
          <w:lang w:val="en-US" w:eastAsia="zh-CN"/>
        </w:rPr>
        <w:t>再生金属</w:t>
      </w:r>
      <w:r>
        <w:rPr>
          <w:rFonts w:hint="default" w:ascii="Times New Roman" w:hAnsi="Times New Roman" w:eastAsia="黑体" w:cs="Times New Roman"/>
          <w:b w:val="0"/>
          <w:bCs w:val="0"/>
          <w:i w:val="0"/>
          <w:iCs w:val="0"/>
          <w:caps w:val="0"/>
          <w:color w:val="0F1115"/>
          <w:spacing w:val="0"/>
          <w:sz w:val="36"/>
          <w:szCs w:val="36"/>
          <w:shd w:val="clear" w:fill="FFFFFF"/>
        </w:rPr>
        <w:t>领域）</w:t>
      </w:r>
    </w:p>
    <w:p w14:paraId="37083B92">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黑体" w:cs="Times New Roman"/>
          <w:b w:val="0"/>
          <w:bCs w:val="0"/>
          <w:i w:val="0"/>
          <w:iCs w:val="0"/>
          <w:caps w:val="0"/>
          <w:color w:val="0F1115"/>
          <w:spacing w:val="0"/>
          <w:sz w:val="36"/>
          <w:szCs w:val="36"/>
          <w:lang w:val="en-US" w:eastAsia="zh-CN"/>
        </w:rPr>
      </w:pPr>
      <w:r>
        <w:rPr>
          <w:rFonts w:hint="default" w:ascii="Times New Roman" w:hAnsi="Times New Roman" w:eastAsia="黑体" w:cs="Times New Roman"/>
          <w:b w:val="0"/>
          <w:bCs w:val="0"/>
          <w:i w:val="0"/>
          <w:iCs w:val="0"/>
          <w:caps w:val="0"/>
          <w:color w:val="0F1115"/>
          <w:spacing w:val="0"/>
          <w:sz w:val="36"/>
          <w:szCs w:val="36"/>
          <w:shd w:val="clear" w:fill="FFFFFF"/>
        </w:rPr>
        <w:t>循环利用节能降碳奖补资金申报书</w:t>
      </w:r>
      <w:r>
        <w:rPr>
          <w:rFonts w:hint="eastAsia" w:ascii="Times New Roman" w:hAnsi="Times New Roman" w:eastAsia="黑体" w:cs="Times New Roman"/>
          <w:b w:val="0"/>
          <w:bCs w:val="0"/>
          <w:i w:val="0"/>
          <w:iCs w:val="0"/>
          <w:caps w:val="0"/>
          <w:color w:val="0F1115"/>
          <w:spacing w:val="0"/>
          <w:sz w:val="36"/>
          <w:szCs w:val="36"/>
          <w:shd w:val="clear" w:fill="FFFFFF"/>
          <w:lang w:val="en-US" w:eastAsia="zh-CN"/>
        </w:rPr>
        <w:t>大纲</w:t>
      </w:r>
    </w:p>
    <w:p w14:paraId="2FD9B294">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 w:hAnsi="仿宋" w:eastAsia="仿宋" w:cs="仿宋"/>
          <w:b/>
          <w:bCs/>
          <w:i w:val="0"/>
          <w:iCs w:val="0"/>
          <w:caps w:val="0"/>
          <w:color w:val="0F1115"/>
          <w:spacing w:val="0"/>
          <w:kern w:val="0"/>
          <w:sz w:val="32"/>
          <w:szCs w:val="32"/>
          <w:shd w:val="clear" w:fill="FFFFFF"/>
          <w:lang w:val="en-US" w:eastAsia="zh-CN" w:bidi="ar"/>
        </w:rPr>
      </w:pPr>
    </w:p>
    <w:p w14:paraId="4A7035B1">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（一）申报主体经营情况</w:t>
      </w:r>
    </w:p>
    <w:p w14:paraId="03022567">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介绍企业名称、企业类型、法定代表人等情况。符合财政涉企资金“绿色门槛”机制相关管理要求，无资金违规使用记录；第一个核算周期内无失信记录、无行政处罚记录，企业销售收入、利润等生产经营情况，附营业执照、项目核准或备案文件等基本证件复印件。</w:t>
      </w:r>
    </w:p>
    <w:p w14:paraId="5F916EDC">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（二）场地与设施标准化水平</w:t>
      </w:r>
    </w:p>
    <w:p w14:paraId="47474373">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描述厂区场地建设，说明是否符合相关规划，企业选址、土地手续是否符合相关规定；标准化仓储设施，是否配备防雨防渗、密闭围挡、防尘降噪等标准化仓储硬件，满足贮存规范等情况；智能监测硬件，是否配备视频监控、地磅、门禁等数字化设备；消防设施，是否配备消防设施并满足相关规范要求。</w:t>
      </w:r>
    </w:p>
    <w:p w14:paraId="6EE21789">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val="0"/>
          <w:bCs w:val="0"/>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（三）回收利用实绩（节能降碳水平）</w:t>
      </w:r>
    </w:p>
    <w:p w14:paraId="5E969BBF">
      <w:pPr>
        <w:pStyle w:val="3"/>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年度再生资源回收加工总量，列明核算周期内再生金属规范化交易总吨数（包含正向业务和反向业务），附加盖公章的企业入库、出库台账或其他佐证资料；测算年度碳减排总量，说明核算周期内企业通过加工利用再生金属对应减少的二氧化碳排放总量，附核算报告。</w:t>
      </w:r>
    </w:p>
    <w:p w14:paraId="26FEEF69">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（四）规范运营与智慧化建设</w:t>
      </w:r>
    </w:p>
    <w:p w14:paraId="1C38EAD2">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业务档案完整情况，主要包括购销合同、磅单、物流、结算单据、发票等数据资料上传山东省工业再生资源回收加工智慧监测平台（以下简称“智慧监测平台”）情况，合同、资金、货物、发票、信息匹配达标率情</w:t>
      </w:r>
      <w:r>
        <w:rPr>
          <w:rFonts w:hint="eastAsia" w:ascii="仿宋_GB2312" w:hAnsi="仿宋_GB2312" w:eastAsia="仿宋_GB2312" w:cs="仿宋_GB2312"/>
          <w:b w:val="0"/>
          <w:bCs w:val="0"/>
          <w:i w:val="0"/>
          <w:iCs w:val="0"/>
          <w:caps w:val="0"/>
          <w:color w:val="0F1115"/>
          <w:spacing w:val="0"/>
          <w:kern w:val="2"/>
          <w:sz w:val="32"/>
          <w:szCs w:val="32"/>
          <w:highlight w:val="none"/>
          <w:shd w:val="clear" w:fill="FFFFFF"/>
          <w:lang w:val="en-US" w:eastAsia="zh-CN" w:bidi="ar-SA"/>
        </w:rPr>
        <w:t>况，附智慧监测平台出具确认函等资料（包括但不限于）</w:t>
      </w: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；收购开票规范情况，向自然人散户收购物资按规定开具收购发票，附收购台账和代扣代缴税费证明。</w:t>
      </w:r>
    </w:p>
    <w:p w14:paraId="7FBC3E5F">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2"/>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pPr>
      <w:r>
        <w:rPr>
          <w:rFonts w:hint="eastAsia" w:ascii="仿宋_GB2312" w:hAnsi="仿宋_GB2312" w:eastAsia="仿宋_GB2312" w:cs="仿宋_GB2312"/>
          <w:b/>
          <w:bCs/>
          <w:i w:val="0"/>
          <w:iCs w:val="0"/>
          <w:caps w:val="0"/>
          <w:color w:val="0F1115"/>
          <w:spacing w:val="0"/>
          <w:kern w:val="0"/>
          <w:sz w:val="32"/>
          <w:szCs w:val="32"/>
          <w:shd w:val="clear" w:fill="FFFFFF"/>
          <w:lang w:val="en-US" w:eastAsia="zh-CN" w:bidi="ar"/>
        </w:rPr>
        <w:t>（五）加分项</w:t>
      </w:r>
    </w:p>
    <w:p w14:paraId="0E692D29">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2"/>
        <w:rPr>
          <w:rFonts w:hint="default" w:ascii="Times New Roman" w:hAnsi="Times New Roman" w:eastAsia="仿宋_GB2312" w:cs="Times New Roman"/>
          <w:b w:val="0"/>
          <w:bCs w:val="0"/>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0F1115"/>
          <w:spacing w:val="0"/>
          <w:kern w:val="2"/>
          <w:sz w:val="32"/>
          <w:szCs w:val="32"/>
          <w:shd w:val="clear" w:fill="FFFFFF"/>
          <w:lang w:val="en-US" w:eastAsia="zh-CN" w:bidi="ar-SA"/>
        </w:rPr>
        <w:t>循环项目建设情况，企业承接无废城市、循环经济产业园重点建设项目相关情况；无处罚记录情况，说明企业不存在环保、税务、公安、市场监管等领域行政处罚记录；全业务线上管理情况，企业回收、加工、销售全流程业务均线上开展，通过信息化系统进行管理；符合有关规范条件情况，说明企业是否纳入工业和信息化部发布的相关规范条件（以申报时工业和信息化部最新动态更新的名单为准）。以上情况为酌情加分项。</w:t>
      </w:r>
    </w:p>
    <w:p w14:paraId="6487E229">
      <w:pPr>
        <w:shd w:val="clear"/>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br w:type="page"/>
      </w:r>
    </w:p>
    <w:p w14:paraId="480ED1DD">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t>表1</w:t>
      </w:r>
    </w:p>
    <w:p w14:paraId="14A29DF7">
      <w:pPr>
        <w:pStyle w:val="2"/>
        <w:keepNext w:val="0"/>
        <w:keepLines w:val="0"/>
        <w:widowControl/>
        <w:suppressLineNumbers w:val="0"/>
        <w:shd w:val="clear"/>
        <w:spacing w:before="480" w:beforeAutospacing="0" w:after="240" w:afterAutospacing="0"/>
        <w:ind w:left="0" w:right="0" w:firstLine="0"/>
        <w:jc w:val="cente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rPr>
        <w:t>企业</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规范情况表</w:t>
      </w:r>
    </w:p>
    <w:p w14:paraId="142B2144">
      <w:pPr>
        <w:keepNext w:val="0"/>
        <w:keepLines w:val="0"/>
        <w:widowControl/>
        <w:suppressLineNumbers w:val="0"/>
        <w:shd w:val="clear"/>
        <w:snapToGrid w:val="0"/>
        <w:spacing w:line="240" w:lineRule="auto"/>
        <w:ind w:left="0" w:leftChars="0" w:right="0" w:rightChars="0" w:firstLine="0" w:firstLineChars="0"/>
        <w:jc w:val="left"/>
        <w:rPr>
          <w:rFonts w:hint="default" w:ascii="Times New Roman" w:hAnsi="Times New Roman" w:eastAsia="仿宋_GB2312" w:cs="Times New Roman"/>
          <w:color w:val="000008"/>
          <w:spacing w:val="0"/>
          <w:kern w:val="0"/>
          <w:sz w:val="28"/>
          <w:szCs w:val="28"/>
          <w:highlight w:val="none"/>
          <w:lang w:val="en-US" w:eastAsia="zh-CN" w:bidi="ar"/>
        </w:rPr>
      </w:pPr>
      <w:r>
        <w:rPr>
          <w:rFonts w:hint="eastAsia" w:ascii="Times New Roman" w:hAnsi="Times New Roman" w:eastAsia="仿宋_GB2312" w:cs="Times New Roman"/>
          <w:color w:val="000008"/>
          <w:spacing w:val="0"/>
          <w:kern w:val="0"/>
          <w:sz w:val="28"/>
          <w:szCs w:val="28"/>
          <w:highlight w:val="none"/>
          <w:lang w:val="en-US" w:eastAsia="zh-CN" w:bidi="ar"/>
        </w:rPr>
        <w:t>填表人：           联系电话：           联系邮箱：</w:t>
      </w:r>
    </w:p>
    <w:tbl>
      <w:tblPr>
        <w:tblStyle w:val="9"/>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90"/>
        <w:gridCol w:w="1933"/>
        <w:gridCol w:w="1973"/>
        <w:gridCol w:w="3402"/>
        <w:gridCol w:w="1915"/>
      </w:tblGrid>
      <w:tr w14:paraId="0DA4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tblHeader/>
          <w:jc w:val="center"/>
        </w:trPr>
        <w:tc>
          <w:tcPr>
            <w:tcW w:w="690" w:type="dxa"/>
            <w:tcBorders>
              <w:tl2br w:val="nil"/>
            </w:tcBorders>
            <w:shd w:val="clear" w:color="auto" w:fill="auto"/>
            <w:tcMar>
              <w:top w:w="60" w:type="dxa"/>
              <w:left w:w="60" w:type="dxa"/>
              <w:bottom w:w="60" w:type="dxa"/>
              <w:right w:w="60" w:type="dxa"/>
            </w:tcMar>
            <w:vAlign w:val="center"/>
          </w:tcPr>
          <w:p w14:paraId="5C35252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序号</w:t>
            </w:r>
          </w:p>
        </w:tc>
        <w:tc>
          <w:tcPr>
            <w:tcW w:w="1933" w:type="dxa"/>
            <w:shd w:val="clear" w:color="auto" w:fill="auto"/>
            <w:tcMar>
              <w:top w:w="60" w:type="dxa"/>
              <w:left w:w="60" w:type="dxa"/>
              <w:bottom w:w="60" w:type="dxa"/>
              <w:right w:w="60" w:type="dxa"/>
            </w:tcMar>
            <w:vAlign w:val="center"/>
          </w:tcPr>
          <w:p w14:paraId="36E688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评价维度</w:t>
            </w:r>
          </w:p>
        </w:tc>
        <w:tc>
          <w:tcPr>
            <w:tcW w:w="1973" w:type="dxa"/>
            <w:shd w:val="clear" w:color="auto" w:fill="auto"/>
            <w:tcMar>
              <w:top w:w="60" w:type="dxa"/>
              <w:left w:w="60" w:type="dxa"/>
              <w:bottom w:w="60" w:type="dxa"/>
              <w:right w:w="60" w:type="dxa"/>
            </w:tcMar>
            <w:vAlign w:val="center"/>
          </w:tcPr>
          <w:p w14:paraId="2151EF5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指标名称</w:t>
            </w:r>
          </w:p>
        </w:tc>
        <w:tc>
          <w:tcPr>
            <w:tcW w:w="3402" w:type="dxa"/>
            <w:shd w:val="clear" w:color="auto" w:fill="auto"/>
            <w:tcMar>
              <w:top w:w="60" w:type="dxa"/>
              <w:left w:w="60" w:type="dxa"/>
              <w:bottom w:w="60" w:type="dxa"/>
              <w:right w:w="60" w:type="dxa"/>
            </w:tcMar>
            <w:vAlign w:val="center"/>
          </w:tcPr>
          <w:p w14:paraId="36EB02C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指标说明</w:t>
            </w:r>
          </w:p>
        </w:tc>
        <w:tc>
          <w:tcPr>
            <w:tcW w:w="1915" w:type="dxa"/>
            <w:shd w:val="clear" w:color="auto" w:fill="auto"/>
            <w:tcMar>
              <w:top w:w="60" w:type="dxa"/>
              <w:left w:w="60" w:type="dxa"/>
              <w:bottom w:w="60" w:type="dxa"/>
              <w:right w:w="60" w:type="dxa"/>
            </w:tcMar>
            <w:vAlign w:val="center"/>
          </w:tcPr>
          <w:p w14:paraId="6FB9607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符合性说明及证明材料索引</w:t>
            </w:r>
          </w:p>
        </w:tc>
      </w:tr>
      <w:tr w14:paraId="0002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095625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1.1</w:t>
            </w:r>
          </w:p>
        </w:tc>
        <w:tc>
          <w:tcPr>
            <w:tcW w:w="1933" w:type="dxa"/>
            <w:vMerge w:val="restart"/>
            <w:shd w:val="clear" w:color="auto" w:fill="auto"/>
            <w:tcMar>
              <w:top w:w="60" w:type="dxa"/>
              <w:left w:w="60" w:type="dxa"/>
              <w:bottom w:w="60" w:type="dxa"/>
              <w:right w:w="60" w:type="dxa"/>
            </w:tcMar>
            <w:vAlign w:val="center"/>
          </w:tcPr>
          <w:p w14:paraId="2D1F741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申报主体经营情况</w:t>
            </w:r>
          </w:p>
        </w:tc>
        <w:tc>
          <w:tcPr>
            <w:tcW w:w="1973" w:type="dxa"/>
            <w:shd w:val="clear" w:color="auto" w:fill="auto"/>
            <w:tcMar>
              <w:top w:w="60" w:type="dxa"/>
              <w:left w:w="60" w:type="dxa"/>
              <w:bottom w:w="60" w:type="dxa"/>
              <w:right w:w="60" w:type="dxa"/>
            </w:tcMar>
            <w:vAlign w:val="center"/>
          </w:tcPr>
          <w:p w14:paraId="1CEF079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资金准入资质</w:t>
            </w:r>
          </w:p>
        </w:tc>
        <w:tc>
          <w:tcPr>
            <w:tcW w:w="3402" w:type="dxa"/>
            <w:shd w:val="clear" w:color="auto" w:fill="auto"/>
            <w:tcMar>
              <w:top w:w="60" w:type="dxa"/>
              <w:left w:w="60" w:type="dxa"/>
              <w:bottom w:w="60" w:type="dxa"/>
              <w:right w:w="60" w:type="dxa"/>
            </w:tcMar>
            <w:vAlign w:val="center"/>
          </w:tcPr>
          <w:p w14:paraId="6336A0B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符合财政涉企资金“绿色门槛”机制相关管理要求，无资金违规使用记录</w:t>
            </w:r>
          </w:p>
        </w:tc>
        <w:tc>
          <w:tcPr>
            <w:tcW w:w="1915" w:type="dxa"/>
            <w:shd w:val="clear" w:color="auto" w:fill="auto"/>
            <w:tcMar>
              <w:top w:w="60" w:type="dxa"/>
              <w:left w:w="60" w:type="dxa"/>
              <w:bottom w:w="60" w:type="dxa"/>
              <w:right w:w="60" w:type="dxa"/>
            </w:tcMar>
            <w:vAlign w:val="center"/>
          </w:tcPr>
          <w:p w14:paraId="72C0E73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7A76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96" w:hRule="atLeast"/>
          <w:jc w:val="center"/>
        </w:trPr>
        <w:tc>
          <w:tcPr>
            <w:tcW w:w="690" w:type="dxa"/>
            <w:shd w:val="clear" w:color="auto" w:fill="auto"/>
            <w:tcMar>
              <w:top w:w="60" w:type="dxa"/>
              <w:left w:w="60" w:type="dxa"/>
              <w:bottom w:w="60" w:type="dxa"/>
              <w:right w:w="60" w:type="dxa"/>
            </w:tcMar>
            <w:vAlign w:val="center"/>
          </w:tcPr>
          <w:p w14:paraId="6928F65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1.2</w:t>
            </w:r>
          </w:p>
        </w:tc>
        <w:tc>
          <w:tcPr>
            <w:tcW w:w="1933" w:type="dxa"/>
            <w:vMerge w:val="continue"/>
            <w:shd w:val="clear" w:color="auto" w:fill="auto"/>
            <w:tcMar>
              <w:top w:w="60" w:type="dxa"/>
              <w:left w:w="60" w:type="dxa"/>
              <w:bottom w:w="60" w:type="dxa"/>
              <w:right w:w="60" w:type="dxa"/>
            </w:tcMar>
            <w:vAlign w:val="center"/>
          </w:tcPr>
          <w:p w14:paraId="0C1E5A6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6ED0C59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信用状况</w:t>
            </w:r>
          </w:p>
        </w:tc>
        <w:tc>
          <w:tcPr>
            <w:tcW w:w="3402" w:type="dxa"/>
            <w:shd w:val="clear" w:color="auto" w:fill="auto"/>
            <w:tcMar>
              <w:top w:w="60" w:type="dxa"/>
              <w:left w:w="60" w:type="dxa"/>
              <w:bottom w:w="60" w:type="dxa"/>
              <w:right w:w="60" w:type="dxa"/>
            </w:tcMar>
            <w:vAlign w:val="center"/>
          </w:tcPr>
          <w:p w14:paraId="0BAB6162">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1年内无失信记录、无行政处罚记录（以信用中国、信用山东查询结果为准）</w:t>
            </w:r>
          </w:p>
        </w:tc>
        <w:tc>
          <w:tcPr>
            <w:tcW w:w="1915" w:type="dxa"/>
            <w:shd w:val="clear" w:color="auto" w:fill="auto"/>
            <w:tcMar>
              <w:top w:w="60" w:type="dxa"/>
              <w:left w:w="60" w:type="dxa"/>
              <w:bottom w:w="60" w:type="dxa"/>
              <w:right w:w="60" w:type="dxa"/>
            </w:tcMar>
            <w:vAlign w:val="center"/>
          </w:tcPr>
          <w:p w14:paraId="6ED406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7261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88" w:hRule="atLeast"/>
          <w:jc w:val="center"/>
        </w:trPr>
        <w:tc>
          <w:tcPr>
            <w:tcW w:w="690" w:type="dxa"/>
            <w:shd w:val="clear" w:color="auto" w:fill="auto"/>
            <w:tcMar>
              <w:top w:w="60" w:type="dxa"/>
              <w:left w:w="60" w:type="dxa"/>
              <w:bottom w:w="60" w:type="dxa"/>
              <w:right w:w="60" w:type="dxa"/>
            </w:tcMar>
            <w:vAlign w:val="center"/>
          </w:tcPr>
          <w:p w14:paraId="67236F6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1.3</w:t>
            </w:r>
          </w:p>
        </w:tc>
        <w:tc>
          <w:tcPr>
            <w:tcW w:w="1933" w:type="dxa"/>
            <w:vMerge w:val="continue"/>
            <w:shd w:val="clear" w:color="auto" w:fill="auto"/>
            <w:tcMar>
              <w:top w:w="60" w:type="dxa"/>
              <w:left w:w="60" w:type="dxa"/>
              <w:bottom w:w="60" w:type="dxa"/>
              <w:right w:w="60" w:type="dxa"/>
            </w:tcMar>
            <w:vAlign w:val="center"/>
          </w:tcPr>
          <w:p w14:paraId="6C6BB1F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23B874D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经营存续能力</w:t>
            </w:r>
          </w:p>
        </w:tc>
        <w:tc>
          <w:tcPr>
            <w:tcW w:w="3402" w:type="dxa"/>
            <w:shd w:val="clear" w:color="auto" w:fill="auto"/>
            <w:tcMar>
              <w:top w:w="60" w:type="dxa"/>
              <w:left w:w="60" w:type="dxa"/>
              <w:bottom w:w="60" w:type="dxa"/>
              <w:right w:w="60" w:type="dxa"/>
            </w:tcMar>
            <w:vAlign w:val="center"/>
          </w:tcPr>
          <w:p w14:paraId="5CF718E9">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企业经营状况良好，具备持续运营能力</w:t>
            </w:r>
          </w:p>
        </w:tc>
        <w:tc>
          <w:tcPr>
            <w:tcW w:w="1915" w:type="dxa"/>
            <w:shd w:val="clear" w:color="auto" w:fill="auto"/>
            <w:tcMar>
              <w:top w:w="60" w:type="dxa"/>
              <w:left w:w="60" w:type="dxa"/>
              <w:bottom w:w="60" w:type="dxa"/>
              <w:right w:w="60" w:type="dxa"/>
            </w:tcMar>
            <w:vAlign w:val="center"/>
          </w:tcPr>
          <w:p w14:paraId="2F2CC44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2A1F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6223FC6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2.1</w:t>
            </w:r>
          </w:p>
        </w:tc>
        <w:tc>
          <w:tcPr>
            <w:tcW w:w="1933" w:type="dxa"/>
            <w:vMerge w:val="restart"/>
            <w:shd w:val="clear" w:color="auto" w:fill="auto"/>
            <w:tcMar>
              <w:top w:w="60" w:type="dxa"/>
              <w:left w:w="60" w:type="dxa"/>
              <w:bottom w:w="60" w:type="dxa"/>
              <w:right w:w="60" w:type="dxa"/>
            </w:tcMar>
            <w:vAlign w:val="center"/>
          </w:tcPr>
          <w:p w14:paraId="7C65726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场地与设施标准化水平</w:t>
            </w:r>
          </w:p>
        </w:tc>
        <w:tc>
          <w:tcPr>
            <w:tcW w:w="1973" w:type="dxa"/>
            <w:shd w:val="clear" w:color="auto" w:fill="auto"/>
            <w:tcMar>
              <w:top w:w="60" w:type="dxa"/>
              <w:left w:w="60" w:type="dxa"/>
              <w:bottom w:w="60" w:type="dxa"/>
              <w:right w:w="60" w:type="dxa"/>
            </w:tcMar>
            <w:vAlign w:val="center"/>
          </w:tcPr>
          <w:p w14:paraId="12DC6AC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厂区场地建设</w:t>
            </w:r>
          </w:p>
        </w:tc>
        <w:tc>
          <w:tcPr>
            <w:tcW w:w="3402" w:type="dxa"/>
            <w:shd w:val="clear" w:color="auto" w:fill="auto"/>
            <w:tcMar>
              <w:top w:w="60" w:type="dxa"/>
              <w:left w:w="60" w:type="dxa"/>
              <w:bottom w:w="60" w:type="dxa"/>
              <w:right w:w="60" w:type="dxa"/>
            </w:tcMar>
            <w:vAlign w:val="center"/>
          </w:tcPr>
          <w:p w14:paraId="1C4E2110">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厂区土地手续齐全，原料、加工、成品、危废分区清晰，现场影像上传平台核验</w:t>
            </w:r>
          </w:p>
        </w:tc>
        <w:tc>
          <w:tcPr>
            <w:tcW w:w="1915" w:type="dxa"/>
            <w:shd w:val="clear" w:color="auto" w:fill="auto"/>
            <w:tcMar>
              <w:top w:w="60" w:type="dxa"/>
              <w:left w:w="60" w:type="dxa"/>
              <w:bottom w:w="60" w:type="dxa"/>
              <w:right w:w="60" w:type="dxa"/>
            </w:tcMar>
            <w:vAlign w:val="center"/>
          </w:tcPr>
          <w:p w14:paraId="180332C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6BF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24874D7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2.2</w:t>
            </w:r>
          </w:p>
        </w:tc>
        <w:tc>
          <w:tcPr>
            <w:tcW w:w="1933" w:type="dxa"/>
            <w:vMerge w:val="continue"/>
            <w:shd w:val="clear" w:color="auto" w:fill="auto"/>
            <w:tcMar>
              <w:top w:w="60" w:type="dxa"/>
              <w:left w:w="60" w:type="dxa"/>
              <w:bottom w:w="60" w:type="dxa"/>
              <w:right w:w="60" w:type="dxa"/>
            </w:tcMar>
            <w:vAlign w:val="center"/>
          </w:tcPr>
          <w:p w14:paraId="05037D0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43094A5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标准化仓储设施</w:t>
            </w:r>
          </w:p>
        </w:tc>
        <w:tc>
          <w:tcPr>
            <w:tcW w:w="3402" w:type="dxa"/>
            <w:shd w:val="clear" w:color="auto" w:fill="auto"/>
            <w:tcMar>
              <w:top w:w="60" w:type="dxa"/>
              <w:left w:w="60" w:type="dxa"/>
              <w:bottom w:w="60" w:type="dxa"/>
              <w:right w:w="60" w:type="dxa"/>
            </w:tcMar>
            <w:vAlign w:val="center"/>
          </w:tcPr>
          <w:p w14:paraId="32B43222">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配备防雨防渗、密闭围挡、防尘降噪等标准化仓储硬件，满足贮存规范要求</w:t>
            </w:r>
          </w:p>
        </w:tc>
        <w:tc>
          <w:tcPr>
            <w:tcW w:w="1915" w:type="dxa"/>
            <w:shd w:val="clear" w:color="auto" w:fill="auto"/>
            <w:tcMar>
              <w:top w:w="60" w:type="dxa"/>
              <w:left w:w="60" w:type="dxa"/>
              <w:bottom w:w="60" w:type="dxa"/>
              <w:right w:w="60" w:type="dxa"/>
            </w:tcMar>
            <w:vAlign w:val="center"/>
          </w:tcPr>
          <w:p w14:paraId="2BB2632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368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0" w:hRule="atLeast"/>
          <w:jc w:val="center"/>
        </w:trPr>
        <w:tc>
          <w:tcPr>
            <w:tcW w:w="690" w:type="dxa"/>
            <w:shd w:val="clear" w:color="auto" w:fill="auto"/>
            <w:tcMar>
              <w:top w:w="60" w:type="dxa"/>
              <w:left w:w="60" w:type="dxa"/>
              <w:bottom w:w="60" w:type="dxa"/>
              <w:right w:w="60" w:type="dxa"/>
            </w:tcMar>
            <w:vAlign w:val="center"/>
          </w:tcPr>
          <w:p w14:paraId="2B4E8D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2.3</w:t>
            </w:r>
          </w:p>
        </w:tc>
        <w:tc>
          <w:tcPr>
            <w:tcW w:w="1933" w:type="dxa"/>
            <w:vMerge w:val="continue"/>
            <w:shd w:val="clear" w:color="auto" w:fill="auto"/>
            <w:tcMar>
              <w:top w:w="60" w:type="dxa"/>
              <w:left w:w="60" w:type="dxa"/>
              <w:bottom w:w="60" w:type="dxa"/>
              <w:right w:w="60" w:type="dxa"/>
            </w:tcMar>
            <w:vAlign w:val="center"/>
          </w:tcPr>
          <w:p w14:paraId="7BA1FD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350CE26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智能监测硬件</w:t>
            </w:r>
          </w:p>
        </w:tc>
        <w:tc>
          <w:tcPr>
            <w:tcW w:w="3402" w:type="dxa"/>
            <w:shd w:val="clear" w:color="auto" w:fill="auto"/>
            <w:tcMar>
              <w:top w:w="60" w:type="dxa"/>
              <w:left w:w="60" w:type="dxa"/>
              <w:bottom w:w="60" w:type="dxa"/>
              <w:right w:w="60" w:type="dxa"/>
            </w:tcMar>
            <w:vAlign w:val="center"/>
          </w:tcPr>
          <w:p w14:paraId="5074A8BE">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配备视频监控、地磅、门禁等数字化设备</w:t>
            </w:r>
          </w:p>
        </w:tc>
        <w:tc>
          <w:tcPr>
            <w:tcW w:w="1915" w:type="dxa"/>
            <w:shd w:val="clear" w:color="auto" w:fill="auto"/>
            <w:tcMar>
              <w:top w:w="60" w:type="dxa"/>
              <w:left w:w="60" w:type="dxa"/>
              <w:bottom w:w="60" w:type="dxa"/>
              <w:right w:w="60" w:type="dxa"/>
            </w:tcMar>
            <w:vAlign w:val="center"/>
          </w:tcPr>
          <w:p w14:paraId="142B76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0C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13" w:hRule="atLeast"/>
          <w:jc w:val="center"/>
        </w:trPr>
        <w:tc>
          <w:tcPr>
            <w:tcW w:w="690" w:type="dxa"/>
            <w:shd w:val="clear" w:color="auto" w:fill="auto"/>
            <w:tcMar>
              <w:top w:w="60" w:type="dxa"/>
              <w:left w:w="60" w:type="dxa"/>
              <w:bottom w:w="60" w:type="dxa"/>
              <w:right w:w="60" w:type="dxa"/>
            </w:tcMar>
            <w:vAlign w:val="center"/>
          </w:tcPr>
          <w:p w14:paraId="78C1C90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2.4</w:t>
            </w:r>
          </w:p>
        </w:tc>
        <w:tc>
          <w:tcPr>
            <w:tcW w:w="1933" w:type="dxa"/>
            <w:vMerge w:val="continue"/>
            <w:shd w:val="clear" w:color="auto" w:fill="auto"/>
            <w:tcMar>
              <w:top w:w="60" w:type="dxa"/>
              <w:left w:w="60" w:type="dxa"/>
              <w:bottom w:w="60" w:type="dxa"/>
              <w:right w:w="60" w:type="dxa"/>
            </w:tcMar>
            <w:vAlign w:val="center"/>
          </w:tcPr>
          <w:p w14:paraId="64CBA1D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7708972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消防设施</w:t>
            </w:r>
          </w:p>
        </w:tc>
        <w:tc>
          <w:tcPr>
            <w:tcW w:w="3402" w:type="dxa"/>
            <w:shd w:val="clear" w:color="auto" w:fill="auto"/>
            <w:tcMar>
              <w:top w:w="60" w:type="dxa"/>
              <w:left w:w="60" w:type="dxa"/>
              <w:bottom w:w="60" w:type="dxa"/>
              <w:right w:w="60" w:type="dxa"/>
            </w:tcMar>
            <w:vAlign w:val="center"/>
          </w:tcPr>
          <w:p w14:paraId="5DD8964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配备消防设施并满足相关规范要求</w:t>
            </w:r>
          </w:p>
        </w:tc>
        <w:tc>
          <w:tcPr>
            <w:tcW w:w="1915" w:type="dxa"/>
            <w:shd w:val="clear" w:color="auto" w:fill="auto"/>
            <w:tcMar>
              <w:top w:w="60" w:type="dxa"/>
              <w:left w:w="60" w:type="dxa"/>
              <w:bottom w:w="60" w:type="dxa"/>
              <w:right w:w="60" w:type="dxa"/>
            </w:tcMar>
            <w:vAlign w:val="center"/>
          </w:tcPr>
          <w:p w14:paraId="6CCCD29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40F0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10" w:hRule="atLeast"/>
          <w:jc w:val="center"/>
        </w:trPr>
        <w:tc>
          <w:tcPr>
            <w:tcW w:w="690" w:type="dxa"/>
            <w:shd w:val="clear" w:color="auto" w:fill="auto"/>
            <w:tcMar>
              <w:top w:w="60" w:type="dxa"/>
              <w:left w:w="60" w:type="dxa"/>
              <w:bottom w:w="60" w:type="dxa"/>
              <w:right w:w="60" w:type="dxa"/>
            </w:tcMar>
            <w:vAlign w:val="center"/>
          </w:tcPr>
          <w:p w14:paraId="54CFF63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3.1</w:t>
            </w:r>
          </w:p>
        </w:tc>
        <w:tc>
          <w:tcPr>
            <w:tcW w:w="1933" w:type="dxa"/>
            <w:vMerge w:val="restart"/>
            <w:shd w:val="clear" w:color="auto" w:fill="auto"/>
            <w:tcMar>
              <w:top w:w="60" w:type="dxa"/>
              <w:left w:w="60" w:type="dxa"/>
              <w:bottom w:w="60" w:type="dxa"/>
              <w:right w:w="60" w:type="dxa"/>
            </w:tcMar>
            <w:vAlign w:val="center"/>
          </w:tcPr>
          <w:p w14:paraId="012B283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回收利用实绩（节能降碳水平）</w:t>
            </w:r>
          </w:p>
        </w:tc>
        <w:tc>
          <w:tcPr>
            <w:tcW w:w="1973" w:type="dxa"/>
            <w:shd w:val="clear" w:color="auto" w:fill="auto"/>
            <w:tcMar>
              <w:top w:w="60" w:type="dxa"/>
              <w:left w:w="60" w:type="dxa"/>
              <w:bottom w:w="60" w:type="dxa"/>
              <w:right w:w="60" w:type="dxa"/>
            </w:tcMar>
            <w:vAlign w:val="center"/>
          </w:tcPr>
          <w:p w14:paraId="64AE7D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年度再生资源回收加工总量</w:t>
            </w:r>
          </w:p>
        </w:tc>
        <w:tc>
          <w:tcPr>
            <w:tcW w:w="3402" w:type="dxa"/>
            <w:shd w:val="clear" w:color="auto" w:fill="auto"/>
            <w:tcMar>
              <w:top w:w="60" w:type="dxa"/>
              <w:left w:w="60" w:type="dxa"/>
              <w:bottom w:w="60" w:type="dxa"/>
              <w:right w:w="60" w:type="dxa"/>
            </w:tcMar>
            <w:vAlign w:val="center"/>
          </w:tcPr>
          <w:p w14:paraId="172A2E7A">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核算周期内再生金属规范化交易总吨数</w:t>
            </w:r>
          </w:p>
        </w:tc>
        <w:tc>
          <w:tcPr>
            <w:tcW w:w="1915" w:type="dxa"/>
            <w:shd w:val="clear" w:color="auto" w:fill="auto"/>
            <w:tcMar>
              <w:top w:w="60" w:type="dxa"/>
              <w:left w:w="60" w:type="dxa"/>
              <w:bottom w:w="60" w:type="dxa"/>
              <w:right w:w="60" w:type="dxa"/>
            </w:tcMar>
            <w:vAlign w:val="center"/>
          </w:tcPr>
          <w:p w14:paraId="39A484B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2D09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690" w:type="dxa"/>
            <w:shd w:val="clear" w:color="auto" w:fill="auto"/>
            <w:tcMar>
              <w:top w:w="60" w:type="dxa"/>
              <w:left w:w="60" w:type="dxa"/>
              <w:bottom w:w="60" w:type="dxa"/>
              <w:right w:w="60" w:type="dxa"/>
            </w:tcMar>
            <w:vAlign w:val="center"/>
          </w:tcPr>
          <w:p w14:paraId="562A448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3.2</w:t>
            </w:r>
          </w:p>
        </w:tc>
        <w:tc>
          <w:tcPr>
            <w:tcW w:w="1933" w:type="dxa"/>
            <w:vMerge w:val="continue"/>
            <w:shd w:val="clear" w:color="auto" w:fill="auto"/>
            <w:tcMar>
              <w:top w:w="60" w:type="dxa"/>
              <w:left w:w="60" w:type="dxa"/>
              <w:bottom w:w="60" w:type="dxa"/>
              <w:right w:w="60" w:type="dxa"/>
            </w:tcMar>
            <w:vAlign w:val="center"/>
          </w:tcPr>
          <w:p w14:paraId="31F77AA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77F6FD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年度碳减排总量</w:t>
            </w:r>
          </w:p>
        </w:tc>
        <w:tc>
          <w:tcPr>
            <w:tcW w:w="3402" w:type="dxa"/>
            <w:shd w:val="clear" w:color="auto" w:fill="auto"/>
            <w:tcMar>
              <w:top w:w="60" w:type="dxa"/>
              <w:left w:w="60" w:type="dxa"/>
              <w:bottom w:w="60" w:type="dxa"/>
              <w:right w:w="60" w:type="dxa"/>
            </w:tcMar>
            <w:vAlign w:val="center"/>
          </w:tcPr>
          <w:p w14:paraId="1F17006E">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核算周期内企业通过加工利用再生金属对应减少的二氧化碳排放总量</w:t>
            </w:r>
          </w:p>
        </w:tc>
        <w:tc>
          <w:tcPr>
            <w:tcW w:w="1915" w:type="dxa"/>
            <w:shd w:val="clear" w:color="auto" w:fill="auto"/>
            <w:tcMar>
              <w:top w:w="60" w:type="dxa"/>
              <w:left w:w="60" w:type="dxa"/>
              <w:bottom w:w="60" w:type="dxa"/>
              <w:right w:w="60" w:type="dxa"/>
            </w:tcMar>
            <w:vAlign w:val="center"/>
          </w:tcPr>
          <w:p w14:paraId="5C6215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40D5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73" w:hRule="atLeast"/>
          <w:jc w:val="center"/>
        </w:trPr>
        <w:tc>
          <w:tcPr>
            <w:tcW w:w="690" w:type="dxa"/>
            <w:shd w:val="clear" w:color="auto" w:fill="auto"/>
            <w:tcMar>
              <w:top w:w="60" w:type="dxa"/>
              <w:left w:w="60" w:type="dxa"/>
              <w:bottom w:w="60" w:type="dxa"/>
              <w:right w:w="60" w:type="dxa"/>
            </w:tcMar>
            <w:vAlign w:val="center"/>
          </w:tcPr>
          <w:p w14:paraId="28E48E5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4.1</w:t>
            </w:r>
          </w:p>
        </w:tc>
        <w:tc>
          <w:tcPr>
            <w:tcW w:w="1933" w:type="dxa"/>
            <w:vMerge w:val="restart"/>
            <w:shd w:val="clear" w:color="auto" w:fill="auto"/>
            <w:tcMar>
              <w:top w:w="60" w:type="dxa"/>
              <w:left w:w="60" w:type="dxa"/>
              <w:bottom w:w="60" w:type="dxa"/>
              <w:right w:w="60" w:type="dxa"/>
            </w:tcMar>
            <w:vAlign w:val="center"/>
          </w:tcPr>
          <w:p w14:paraId="54C02F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规范运营与智慧化建设</w:t>
            </w:r>
          </w:p>
        </w:tc>
        <w:tc>
          <w:tcPr>
            <w:tcW w:w="1973" w:type="dxa"/>
            <w:shd w:val="clear" w:color="auto" w:fill="auto"/>
            <w:tcMar>
              <w:top w:w="60" w:type="dxa"/>
              <w:left w:w="60" w:type="dxa"/>
              <w:bottom w:w="60" w:type="dxa"/>
              <w:right w:w="60" w:type="dxa"/>
            </w:tcMar>
            <w:vAlign w:val="center"/>
          </w:tcPr>
          <w:p w14:paraId="4D5C6EB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业务档案完整度</w:t>
            </w:r>
          </w:p>
        </w:tc>
        <w:tc>
          <w:tcPr>
            <w:tcW w:w="3402" w:type="dxa"/>
            <w:shd w:val="clear" w:color="auto" w:fill="auto"/>
            <w:tcMar>
              <w:top w:w="60" w:type="dxa"/>
              <w:left w:w="60" w:type="dxa"/>
              <w:bottom w:w="60" w:type="dxa"/>
              <w:right w:w="60" w:type="dxa"/>
            </w:tcMar>
            <w:vAlign w:val="center"/>
          </w:tcPr>
          <w:p w14:paraId="12F46E7C">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购销合同、磅单、物流、结算单据齐全</w:t>
            </w:r>
          </w:p>
        </w:tc>
        <w:tc>
          <w:tcPr>
            <w:tcW w:w="1915" w:type="dxa"/>
            <w:shd w:val="clear" w:color="auto" w:fill="auto"/>
            <w:tcMar>
              <w:top w:w="60" w:type="dxa"/>
              <w:left w:w="60" w:type="dxa"/>
              <w:bottom w:w="60" w:type="dxa"/>
              <w:right w:w="60" w:type="dxa"/>
            </w:tcMar>
            <w:vAlign w:val="center"/>
          </w:tcPr>
          <w:p w14:paraId="70B5AA1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371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587507A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4.2</w:t>
            </w:r>
          </w:p>
        </w:tc>
        <w:tc>
          <w:tcPr>
            <w:tcW w:w="1933" w:type="dxa"/>
            <w:vMerge w:val="continue"/>
            <w:shd w:val="clear" w:color="auto" w:fill="auto"/>
            <w:tcMar>
              <w:top w:w="60" w:type="dxa"/>
              <w:left w:w="60" w:type="dxa"/>
              <w:bottom w:w="60" w:type="dxa"/>
              <w:right w:w="60" w:type="dxa"/>
            </w:tcMar>
            <w:vAlign w:val="center"/>
          </w:tcPr>
          <w:p w14:paraId="6E2A17C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2A8B55D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交易五流合规度</w:t>
            </w:r>
          </w:p>
        </w:tc>
        <w:tc>
          <w:tcPr>
            <w:tcW w:w="3402" w:type="dxa"/>
            <w:shd w:val="clear" w:color="auto" w:fill="auto"/>
            <w:tcMar>
              <w:top w:w="60" w:type="dxa"/>
              <w:left w:w="60" w:type="dxa"/>
              <w:bottom w:w="60" w:type="dxa"/>
              <w:right w:w="60" w:type="dxa"/>
            </w:tcMar>
            <w:vAlign w:val="center"/>
          </w:tcPr>
          <w:p w14:paraId="20697394">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合同、资金、货物、发票、信息流交叉匹配达标率</w:t>
            </w:r>
          </w:p>
        </w:tc>
        <w:tc>
          <w:tcPr>
            <w:tcW w:w="1915" w:type="dxa"/>
            <w:shd w:val="clear" w:color="auto" w:fill="auto"/>
            <w:tcMar>
              <w:top w:w="60" w:type="dxa"/>
              <w:left w:w="60" w:type="dxa"/>
              <w:bottom w:w="60" w:type="dxa"/>
              <w:right w:w="60" w:type="dxa"/>
            </w:tcMar>
            <w:vAlign w:val="center"/>
          </w:tcPr>
          <w:p w14:paraId="314C72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635B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430C701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4.3</w:t>
            </w:r>
          </w:p>
        </w:tc>
        <w:tc>
          <w:tcPr>
            <w:tcW w:w="1933" w:type="dxa"/>
            <w:vMerge w:val="continue"/>
            <w:shd w:val="clear" w:color="auto" w:fill="auto"/>
            <w:tcMar>
              <w:top w:w="60" w:type="dxa"/>
              <w:left w:w="60" w:type="dxa"/>
              <w:bottom w:w="60" w:type="dxa"/>
              <w:right w:w="60" w:type="dxa"/>
            </w:tcMar>
            <w:vAlign w:val="center"/>
          </w:tcPr>
          <w:p w14:paraId="232A07A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5247C33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收购开票规范性</w:t>
            </w:r>
          </w:p>
        </w:tc>
        <w:tc>
          <w:tcPr>
            <w:tcW w:w="3402" w:type="dxa"/>
            <w:shd w:val="clear" w:color="auto" w:fill="auto"/>
            <w:tcMar>
              <w:top w:w="60" w:type="dxa"/>
              <w:left w:w="60" w:type="dxa"/>
              <w:bottom w:w="60" w:type="dxa"/>
              <w:right w:w="60" w:type="dxa"/>
            </w:tcMar>
            <w:vAlign w:val="center"/>
          </w:tcPr>
          <w:p w14:paraId="0C956A7F">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向自然人散户收购物资按规定开具收购发票，完整留存收购台账</w:t>
            </w:r>
          </w:p>
        </w:tc>
        <w:tc>
          <w:tcPr>
            <w:tcW w:w="1915" w:type="dxa"/>
            <w:shd w:val="clear" w:color="auto" w:fill="auto"/>
            <w:tcMar>
              <w:top w:w="60" w:type="dxa"/>
              <w:left w:w="60" w:type="dxa"/>
              <w:bottom w:w="60" w:type="dxa"/>
              <w:right w:w="60" w:type="dxa"/>
            </w:tcMar>
            <w:vAlign w:val="center"/>
          </w:tcPr>
          <w:p w14:paraId="5F7C366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0CEA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86" w:hRule="atLeast"/>
          <w:jc w:val="center"/>
        </w:trPr>
        <w:tc>
          <w:tcPr>
            <w:tcW w:w="690" w:type="dxa"/>
            <w:shd w:val="clear" w:color="auto" w:fill="auto"/>
            <w:tcMar>
              <w:top w:w="60" w:type="dxa"/>
              <w:left w:w="60" w:type="dxa"/>
              <w:bottom w:w="60" w:type="dxa"/>
              <w:right w:w="60" w:type="dxa"/>
            </w:tcMar>
            <w:vAlign w:val="center"/>
          </w:tcPr>
          <w:p w14:paraId="1F8A1C6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shd w:val="clear" w:color="auto" w:fill="auto"/>
                <w:vertAlign w:val="baseline"/>
                <w:lang w:val="en-US" w:eastAsia="zh-CN"/>
              </w:rPr>
            </w:pPr>
            <w:r>
              <w:rPr>
                <w:rFonts w:hint="eastAsia" w:asciiTheme="minorEastAsia" w:hAnsiTheme="minorEastAsia" w:eastAsiaTheme="minorEastAsia" w:cstheme="minorEastAsia"/>
                <w:sz w:val="24"/>
                <w:szCs w:val="24"/>
                <w:shd w:val="clear" w:color="auto" w:fill="auto"/>
                <w:vertAlign w:val="baseline"/>
                <w:lang w:val="en-US" w:eastAsia="zh-CN"/>
              </w:rPr>
              <w:t>5.1</w:t>
            </w:r>
          </w:p>
        </w:tc>
        <w:tc>
          <w:tcPr>
            <w:tcW w:w="1933" w:type="dxa"/>
            <w:vMerge w:val="restart"/>
            <w:shd w:val="clear" w:color="auto" w:fill="auto"/>
            <w:tcMar>
              <w:top w:w="60" w:type="dxa"/>
              <w:left w:w="60" w:type="dxa"/>
              <w:bottom w:w="60" w:type="dxa"/>
              <w:right w:w="60" w:type="dxa"/>
            </w:tcMar>
            <w:vAlign w:val="center"/>
          </w:tcPr>
          <w:p w14:paraId="64F0C18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加分项</w:t>
            </w:r>
          </w:p>
        </w:tc>
        <w:tc>
          <w:tcPr>
            <w:tcW w:w="1973" w:type="dxa"/>
            <w:shd w:val="clear" w:color="auto" w:fill="auto"/>
            <w:tcMar>
              <w:top w:w="60" w:type="dxa"/>
              <w:left w:w="60" w:type="dxa"/>
              <w:bottom w:w="60" w:type="dxa"/>
              <w:right w:w="60" w:type="dxa"/>
            </w:tcMar>
            <w:vAlign w:val="center"/>
          </w:tcPr>
          <w:p w14:paraId="7311733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循环项目建设</w:t>
            </w:r>
          </w:p>
        </w:tc>
        <w:tc>
          <w:tcPr>
            <w:tcW w:w="3402" w:type="dxa"/>
            <w:shd w:val="clear" w:color="auto" w:fill="auto"/>
            <w:tcMar>
              <w:top w:w="60" w:type="dxa"/>
              <w:left w:w="60" w:type="dxa"/>
              <w:bottom w:w="60" w:type="dxa"/>
              <w:right w:w="60" w:type="dxa"/>
            </w:tcMar>
            <w:vAlign w:val="center"/>
          </w:tcPr>
          <w:p w14:paraId="733D0587">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承接无废城市、循环经济产业园重点建设项目</w:t>
            </w:r>
          </w:p>
        </w:tc>
        <w:tc>
          <w:tcPr>
            <w:tcW w:w="1915" w:type="dxa"/>
            <w:shd w:val="clear" w:color="auto" w:fill="auto"/>
            <w:tcMar>
              <w:top w:w="60" w:type="dxa"/>
              <w:left w:w="60" w:type="dxa"/>
              <w:bottom w:w="60" w:type="dxa"/>
              <w:right w:w="60" w:type="dxa"/>
            </w:tcMar>
            <w:vAlign w:val="center"/>
          </w:tcPr>
          <w:p w14:paraId="79310E5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666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20" w:hRule="atLeast"/>
          <w:jc w:val="center"/>
        </w:trPr>
        <w:tc>
          <w:tcPr>
            <w:tcW w:w="690" w:type="dxa"/>
            <w:shd w:val="clear" w:color="auto" w:fill="auto"/>
            <w:tcMar>
              <w:top w:w="60" w:type="dxa"/>
              <w:left w:w="60" w:type="dxa"/>
              <w:bottom w:w="60" w:type="dxa"/>
              <w:right w:w="60" w:type="dxa"/>
            </w:tcMar>
            <w:vAlign w:val="center"/>
          </w:tcPr>
          <w:p w14:paraId="546D822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shd w:val="clear" w:color="auto" w:fill="auto"/>
                <w:vertAlign w:val="baseline"/>
                <w:lang w:val="en-US" w:eastAsia="zh-CN"/>
              </w:rPr>
            </w:pPr>
            <w:r>
              <w:rPr>
                <w:rFonts w:hint="eastAsia" w:asciiTheme="minorEastAsia" w:hAnsiTheme="minorEastAsia" w:eastAsiaTheme="minorEastAsia" w:cstheme="minorEastAsia"/>
                <w:sz w:val="24"/>
                <w:szCs w:val="24"/>
                <w:shd w:val="clear" w:color="auto" w:fill="auto"/>
                <w:vertAlign w:val="baseline"/>
                <w:lang w:val="en-US" w:eastAsia="zh-CN"/>
              </w:rPr>
              <w:t>5.2</w:t>
            </w:r>
          </w:p>
        </w:tc>
        <w:tc>
          <w:tcPr>
            <w:tcW w:w="1933" w:type="dxa"/>
            <w:vMerge w:val="continue"/>
            <w:shd w:val="clear" w:color="auto" w:fill="auto"/>
            <w:tcMar>
              <w:top w:w="60" w:type="dxa"/>
              <w:left w:w="60" w:type="dxa"/>
              <w:bottom w:w="60" w:type="dxa"/>
              <w:right w:w="60" w:type="dxa"/>
            </w:tcMar>
            <w:vAlign w:val="center"/>
          </w:tcPr>
          <w:p w14:paraId="7F4390D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p>
        </w:tc>
        <w:tc>
          <w:tcPr>
            <w:tcW w:w="1973" w:type="dxa"/>
            <w:shd w:val="clear" w:color="auto" w:fill="auto"/>
            <w:tcMar>
              <w:top w:w="60" w:type="dxa"/>
              <w:left w:w="60" w:type="dxa"/>
              <w:bottom w:w="60" w:type="dxa"/>
              <w:right w:w="60" w:type="dxa"/>
            </w:tcMar>
            <w:vAlign w:val="center"/>
          </w:tcPr>
          <w:p w14:paraId="0E57C7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无处罚记录</w:t>
            </w:r>
          </w:p>
        </w:tc>
        <w:tc>
          <w:tcPr>
            <w:tcW w:w="3402" w:type="dxa"/>
            <w:shd w:val="clear" w:color="auto" w:fill="auto"/>
            <w:tcMar>
              <w:top w:w="60" w:type="dxa"/>
              <w:left w:w="60" w:type="dxa"/>
              <w:bottom w:w="60" w:type="dxa"/>
              <w:right w:w="60" w:type="dxa"/>
            </w:tcMar>
            <w:vAlign w:val="center"/>
          </w:tcPr>
          <w:p w14:paraId="0F4B6444">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shd w:val="clear" w:color="auto" w:fill="auto"/>
                <w:vertAlign w:val="baseline"/>
                <w:lang w:val="en-US" w:eastAsia="zh-CN"/>
              </w:rPr>
            </w:pPr>
            <w:r>
              <w:rPr>
                <w:rFonts w:hint="eastAsia" w:asciiTheme="minorEastAsia" w:hAnsiTheme="minorEastAsia" w:eastAsiaTheme="minorEastAsia" w:cstheme="minorEastAsia"/>
                <w:spacing w:val="0"/>
                <w:sz w:val="24"/>
                <w:szCs w:val="24"/>
                <w:shd w:val="clear" w:color="auto" w:fill="auto"/>
                <w:vertAlign w:val="baseline"/>
                <w:lang w:val="en-US" w:eastAsia="zh-CN"/>
              </w:rPr>
              <w:t>无环保、税务、公安、市场监管等行政处罚记录</w:t>
            </w:r>
          </w:p>
        </w:tc>
        <w:tc>
          <w:tcPr>
            <w:tcW w:w="1915" w:type="dxa"/>
            <w:shd w:val="clear" w:color="auto" w:fill="auto"/>
            <w:tcMar>
              <w:top w:w="60" w:type="dxa"/>
              <w:left w:w="60" w:type="dxa"/>
              <w:bottom w:w="60" w:type="dxa"/>
              <w:right w:w="60" w:type="dxa"/>
            </w:tcMar>
            <w:vAlign w:val="center"/>
          </w:tcPr>
          <w:p w14:paraId="4D8A9FB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3ACE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96" w:hRule="atLeast"/>
          <w:jc w:val="center"/>
        </w:trPr>
        <w:tc>
          <w:tcPr>
            <w:tcW w:w="690" w:type="dxa"/>
            <w:shd w:val="clear" w:color="auto" w:fill="auto"/>
            <w:tcMar>
              <w:top w:w="60" w:type="dxa"/>
              <w:left w:w="60" w:type="dxa"/>
              <w:bottom w:w="60" w:type="dxa"/>
              <w:right w:w="60" w:type="dxa"/>
            </w:tcMar>
            <w:vAlign w:val="center"/>
          </w:tcPr>
          <w:p w14:paraId="50D1B3B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5.3</w:t>
            </w:r>
          </w:p>
        </w:tc>
        <w:tc>
          <w:tcPr>
            <w:tcW w:w="1933" w:type="dxa"/>
            <w:vMerge w:val="continue"/>
            <w:shd w:val="clear" w:color="auto" w:fill="auto"/>
            <w:tcMar>
              <w:top w:w="60" w:type="dxa"/>
              <w:left w:w="60" w:type="dxa"/>
              <w:bottom w:w="60" w:type="dxa"/>
              <w:right w:w="60" w:type="dxa"/>
            </w:tcMar>
            <w:vAlign w:val="center"/>
          </w:tcPr>
          <w:p w14:paraId="78E2C4D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0727D14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全业务线上管理</w:t>
            </w:r>
          </w:p>
        </w:tc>
        <w:tc>
          <w:tcPr>
            <w:tcW w:w="3402" w:type="dxa"/>
            <w:shd w:val="clear" w:color="auto" w:fill="auto"/>
            <w:tcMar>
              <w:top w:w="60" w:type="dxa"/>
              <w:left w:w="60" w:type="dxa"/>
              <w:bottom w:w="60" w:type="dxa"/>
              <w:right w:w="60" w:type="dxa"/>
            </w:tcMar>
            <w:vAlign w:val="center"/>
          </w:tcPr>
          <w:p w14:paraId="5AFCDCB1">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全部回收、加工、销售业务信息化水平</w:t>
            </w:r>
          </w:p>
        </w:tc>
        <w:tc>
          <w:tcPr>
            <w:tcW w:w="1915" w:type="dxa"/>
            <w:shd w:val="clear" w:color="auto" w:fill="auto"/>
            <w:tcMar>
              <w:top w:w="60" w:type="dxa"/>
              <w:left w:w="60" w:type="dxa"/>
              <w:bottom w:w="60" w:type="dxa"/>
              <w:right w:w="60" w:type="dxa"/>
            </w:tcMar>
            <w:vAlign w:val="center"/>
          </w:tcPr>
          <w:p w14:paraId="297AE4B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r w14:paraId="16A0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296" w:hRule="atLeast"/>
          <w:jc w:val="center"/>
        </w:trPr>
        <w:tc>
          <w:tcPr>
            <w:tcW w:w="690" w:type="dxa"/>
            <w:shd w:val="clear" w:color="auto" w:fill="auto"/>
            <w:tcMar>
              <w:top w:w="60" w:type="dxa"/>
              <w:left w:w="60" w:type="dxa"/>
              <w:bottom w:w="60" w:type="dxa"/>
              <w:right w:w="60" w:type="dxa"/>
            </w:tcMar>
            <w:vAlign w:val="center"/>
          </w:tcPr>
          <w:p w14:paraId="7CF66AD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5.4</w:t>
            </w:r>
          </w:p>
        </w:tc>
        <w:tc>
          <w:tcPr>
            <w:tcW w:w="1933" w:type="dxa"/>
            <w:shd w:val="clear" w:color="auto" w:fill="auto"/>
            <w:tcMar>
              <w:top w:w="60" w:type="dxa"/>
              <w:left w:w="60" w:type="dxa"/>
              <w:bottom w:w="60" w:type="dxa"/>
              <w:right w:w="60" w:type="dxa"/>
            </w:tcMar>
            <w:vAlign w:val="center"/>
          </w:tcPr>
          <w:p w14:paraId="504F0E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1973" w:type="dxa"/>
            <w:shd w:val="clear" w:color="auto" w:fill="auto"/>
            <w:tcMar>
              <w:top w:w="60" w:type="dxa"/>
              <w:left w:w="60" w:type="dxa"/>
              <w:bottom w:w="60" w:type="dxa"/>
              <w:right w:w="60" w:type="dxa"/>
            </w:tcMar>
            <w:vAlign w:val="center"/>
          </w:tcPr>
          <w:p w14:paraId="40B2805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符合有关规范条件</w:t>
            </w:r>
          </w:p>
        </w:tc>
        <w:tc>
          <w:tcPr>
            <w:tcW w:w="3402" w:type="dxa"/>
            <w:shd w:val="clear" w:color="auto" w:fill="auto"/>
            <w:tcMar>
              <w:top w:w="60" w:type="dxa"/>
              <w:left w:w="60" w:type="dxa"/>
              <w:bottom w:w="60" w:type="dxa"/>
              <w:right w:w="60" w:type="dxa"/>
            </w:tcMar>
            <w:vAlign w:val="center"/>
          </w:tcPr>
          <w:p w14:paraId="4ADB8F16">
            <w:pPr>
              <w:keepNext w:val="0"/>
              <w:keepLines w:val="0"/>
              <w:pageBreakBefore w:val="0"/>
              <w:widowControl w:val="0"/>
              <w:shd w:val="clear"/>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rPr>
              <w:t>纳入工业和信息化部发布的</w:t>
            </w:r>
            <w:r>
              <w:rPr>
                <w:rFonts w:hint="eastAsia" w:asciiTheme="minorEastAsia" w:hAnsiTheme="minorEastAsia" w:eastAsiaTheme="minorEastAsia" w:cstheme="minorEastAsia"/>
                <w:spacing w:val="0"/>
                <w:sz w:val="24"/>
                <w:szCs w:val="24"/>
                <w:lang w:eastAsia="zh-CN"/>
              </w:rPr>
              <w:t>相关规范条件</w:t>
            </w:r>
            <w:r>
              <w:rPr>
                <w:rFonts w:hint="eastAsia" w:asciiTheme="minorEastAsia" w:hAnsiTheme="minorEastAsia" w:eastAsiaTheme="minorEastAsia" w:cstheme="minorEastAsia"/>
                <w:spacing w:val="0"/>
                <w:sz w:val="24"/>
                <w:szCs w:val="24"/>
              </w:rPr>
              <w:t>（以申报时工业和信息化部最新动态更新的名单为准）</w:t>
            </w:r>
          </w:p>
        </w:tc>
        <w:tc>
          <w:tcPr>
            <w:tcW w:w="1915" w:type="dxa"/>
            <w:shd w:val="clear" w:color="auto" w:fill="auto"/>
            <w:tcMar>
              <w:top w:w="60" w:type="dxa"/>
              <w:left w:w="60" w:type="dxa"/>
              <w:bottom w:w="60" w:type="dxa"/>
              <w:right w:w="60" w:type="dxa"/>
            </w:tcMar>
            <w:vAlign w:val="center"/>
          </w:tcPr>
          <w:p w14:paraId="5936EF7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z w:val="24"/>
                <w:szCs w:val="24"/>
                <w:vertAlign w:val="baseline"/>
                <w:lang w:val="en-US" w:eastAsia="zh-CN"/>
              </w:rPr>
            </w:pPr>
          </w:p>
        </w:tc>
      </w:tr>
    </w:tbl>
    <w:p w14:paraId="7F990B5D">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r>
        <w:rPr>
          <w:rFonts w:hint="default" w:ascii="Times New Roman" w:hAnsi="Times New Roman" w:eastAsia="黑体" w:cs="Times New Roman"/>
          <w:b w:val="0"/>
          <w:bCs w:val="0"/>
          <w:i w:val="0"/>
          <w:iCs w:val="0"/>
          <w:caps w:val="0"/>
          <w:color w:val="0F1115"/>
          <w:spacing w:val="0"/>
          <w:sz w:val="32"/>
          <w:szCs w:val="32"/>
          <w:shd w:val="clear" w:fill="FFFFFF"/>
          <w:lang w:val="en-US" w:eastAsia="zh-CN"/>
        </w:rPr>
        <w:br w:type="page"/>
      </w:r>
    </w:p>
    <w:p w14:paraId="5A48A029">
      <w:pPr>
        <w:pStyle w:val="2"/>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Times New Roman" w:hAnsi="Times New Roman" w:eastAsia="黑体" w:cs="Times New Roman"/>
          <w:b w:val="0"/>
          <w:bCs w:val="0"/>
          <w:i w:val="0"/>
          <w:iCs w:val="0"/>
          <w:caps w:val="0"/>
          <w:color w:val="0F1115"/>
          <w:spacing w:val="0"/>
          <w:sz w:val="32"/>
          <w:szCs w:val="32"/>
          <w:shd w:val="clear" w:fill="FFFFFF"/>
          <w:lang w:val="en-US" w:eastAsia="zh-CN"/>
        </w:rPr>
      </w:pPr>
      <w:r>
        <w:rPr>
          <w:rFonts w:hint="eastAsia" w:ascii="Times New Roman" w:hAnsi="Times New Roman" w:eastAsia="黑体" w:cs="Times New Roman"/>
          <w:b w:val="0"/>
          <w:bCs w:val="0"/>
          <w:i w:val="0"/>
          <w:iCs w:val="0"/>
          <w:caps w:val="0"/>
          <w:color w:val="0F1115"/>
          <w:spacing w:val="0"/>
          <w:sz w:val="32"/>
          <w:szCs w:val="32"/>
          <w:shd w:val="clear" w:fill="FFFFFF"/>
          <w:lang w:val="en-US" w:eastAsia="zh-CN"/>
        </w:rPr>
        <w:t>表2</w:t>
      </w:r>
    </w:p>
    <w:p w14:paraId="708F1976">
      <w:pPr>
        <w:keepNext w:val="0"/>
        <w:keepLines w:val="0"/>
        <w:pageBreakBefore w:val="0"/>
        <w:widowControl w:val="0"/>
        <w:suppressLineNumbers w:val="0"/>
        <w:shd w:val="clear"/>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eastAsia="方正黑体_GBK" w:cs="Times New Roman"/>
          <w:color w:val="000000"/>
          <w:kern w:val="0"/>
          <w:sz w:val="30"/>
          <w:szCs w:val="30"/>
          <w:lang w:val="en-US" w:eastAsia="zh-CN" w:bidi="ar"/>
        </w:rPr>
      </w:pPr>
    </w:p>
    <w:p w14:paraId="61B739F3">
      <w:pPr>
        <w:pStyle w:val="2"/>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2026</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年度山东省工业再生资源（</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再生金属</w:t>
      </w:r>
      <w:bookmarkStart w:id="0" w:name="_GoBack"/>
      <w:bookmarkEnd w:id="0"/>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领域）</w:t>
      </w:r>
    </w:p>
    <w:p w14:paraId="136BF939">
      <w:pPr>
        <w:pStyle w:val="2"/>
        <w:keepNext w:val="0"/>
        <w:keepLines w:val="0"/>
        <w:pageBreakBefore w:val="0"/>
        <w:widowControl/>
        <w:suppressLineNumbers w:val="0"/>
        <w:shd w:val="clear"/>
        <w:kinsoku/>
        <w:wordWrap/>
        <w:overflowPunct/>
        <w:topLinePunct w:val="0"/>
        <w:autoSpaceDE/>
        <w:autoSpaceDN/>
        <w:bidi w:val="0"/>
        <w:spacing w:before="0" w:beforeAutospacing="0" w:after="0" w:afterAutospacing="0" w:line="560" w:lineRule="exact"/>
        <w:ind w:left="0" w:right="0" w:firstLine="0"/>
        <w:jc w:val="center"/>
        <w:textAlignment w:val="auto"/>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pP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循环利用节能降碳奖补资金绩效目标</w:t>
      </w:r>
      <w:r>
        <w:rPr>
          <w:rFonts w:hint="eastAsia"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申报</w:t>
      </w:r>
      <w:r>
        <w:rPr>
          <w:rFonts w:hint="default" w:ascii="方正小标宋简体" w:hAnsi="方正小标宋简体" w:eastAsia="方正小标宋简体" w:cs="方正小标宋简体"/>
          <w:b w:val="0"/>
          <w:bCs w:val="0"/>
          <w:i w:val="0"/>
          <w:iCs w:val="0"/>
          <w:caps w:val="0"/>
          <w:color w:val="0F1115"/>
          <w:spacing w:val="0"/>
          <w:sz w:val="36"/>
          <w:szCs w:val="36"/>
          <w:shd w:val="clear" w:fill="FFFFFF"/>
          <w:lang w:val="en-US" w:eastAsia="zh-CN"/>
        </w:rPr>
        <w:t>表</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600"/>
        <w:gridCol w:w="1098"/>
        <w:gridCol w:w="1595"/>
        <w:gridCol w:w="2275"/>
        <w:gridCol w:w="1611"/>
        <w:gridCol w:w="1691"/>
      </w:tblGrid>
      <w:tr w14:paraId="0D93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1"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0FA1079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申报单位</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7CB4172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2E3B7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4" w:hRule="atLeast"/>
        </w:trPr>
        <w:tc>
          <w:tcPr>
            <w:tcW w:w="957" w:type="pct"/>
            <w:gridSpan w:val="2"/>
            <w:tcBorders>
              <w:top w:val="single" w:color="000000" w:sz="4" w:space="0"/>
              <w:left w:val="single" w:color="000000" w:sz="4" w:space="0"/>
              <w:right w:val="single" w:color="000000" w:sz="4" w:space="0"/>
            </w:tcBorders>
            <w:noWrap w:val="0"/>
            <w:vAlign w:val="center"/>
          </w:tcPr>
          <w:p w14:paraId="57E38F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资金用途及使用概况</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3523F1F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7C5CB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751192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负责人</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14A65599">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050E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957" w:type="pct"/>
            <w:gridSpan w:val="2"/>
            <w:tcBorders>
              <w:top w:val="single" w:color="000000" w:sz="4" w:space="0"/>
              <w:left w:val="single" w:color="000000" w:sz="4" w:space="0"/>
              <w:bottom w:val="single" w:color="000000" w:sz="4" w:space="0"/>
              <w:right w:val="single" w:color="000000" w:sz="4" w:space="0"/>
            </w:tcBorders>
            <w:noWrap w:val="0"/>
            <w:vAlign w:val="center"/>
          </w:tcPr>
          <w:p w14:paraId="0B7F4B2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联系电话</w:t>
            </w:r>
          </w:p>
        </w:tc>
        <w:tc>
          <w:tcPr>
            <w:tcW w:w="4042" w:type="pct"/>
            <w:gridSpan w:val="4"/>
            <w:tcBorders>
              <w:top w:val="single" w:color="000000" w:sz="4" w:space="0"/>
              <w:left w:val="single" w:color="000000" w:sz="4" w:space="0"/>
              <w:bottom w:val="single" w:color="000000" w:sz="4" w:space="0"/>
              <w:right w:val="single" w:color="000000" w:sz="4" w:space="0"/>
            </w:tcBorders>
            <w:noWrap w:val="0"/>
            <w:vAlign w:val="center"/>
          </w:tcPr>
          <w:p w14:paraId="7EEEFD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7196B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0" w:hRule="atLeast"/>
        </w:trPr>
        <w:tc>
          <w:tcPr>
            <w:tcW w:w="338" w:type="pct"/>
            <w:vMerge w:val="restart"/>
            <w:tcBorders>
              <w:top w:val="single" w:color="000000" w:sz="4" w:space="0"/>
              <w:left w:val="single" w:color="000000" w:sz="4" w:space="0"/>
              <w:bottom w:val="single" w:color="000000" w:sz="4" w:space="0"/>
              <w:right w:val="single" w:color="000000" w:sz="4" w:space="0"/>
            </w:tcBorders>
            <w:noWrap w:val="0"/>
            <w:vAlign w:val="center"/>
          </w:tcPr>
          <w:p w14:paraId="4A03899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绩</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效</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指</w:t>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br w:type="textWrapping"/>
            </w:r>
            <w:r>
              <w:rPr>
                <w:rFonts w:hint="eastAsia" w:asciiTheme="minorEastAsia" w:hAnsiTheme="minorEastAsia" w:eastAsiaTheme="minorEastAsia" w:cstheme="minorEastAsia"/>
                <w:spacing w:val="0"/>
                <w:sz w:val="24"/>
                <w:szCs w:val="24"/>
                <w:vertAlign w:val="baseline"/>
                <w:lang w:val="en-US" w:eastAsia="zh-CN"/>
              </w:rPr>
              <w:t>标</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338F5D9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一级指标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1EDB238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二级指标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40BC13F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指标内容</w:t>
            </w: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5DEC5C2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项目投入后指标值</w:t>
            </w: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73AA38B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年度指标值</w:t>
            </w:r>
          </w:p>
        </w:tc>
      </w:tr>
      <w:tr w14:paraId="5C19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6"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3941DB9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restart"/>
            <w:tcBorders>
              <w:top w:val="single" w:color="000000" w:sz="4" w:space="0"/>
              <w:left w:val="single" w:color="000000" w:sz="4" w:space="0"/>
              <w:bottom w:val="single" w:color="000000" w:sz="4" w:space="0"/>
              <w:right w:val="single" w:color="000000" w:sz="4" w:space="0"/>
            </w:tcBorders>
            <w:noWrap w:val="0"/>
            <w:vAlign w:val="center"/>
          </w:tcPr>
          <w:p w14:paraId="000C34B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预期效果指标</w:t>
            </w:r>
          </w:p>
        </w:tc>
        <w:tc>
          <w:tcPr>
            <w:tcW w:w="899" w:type="pct"/>
            <w:tcBorders>
              <w:top w:val="single" w:color="000000" w:sz="4" w:space="0"/>
              <w:left w:val="single" w:color="000000" w:sz="4" w:space="0"/>
              <w:right w:val="single" w:color="000000" w:sz="4" w:space="0"/>
            </w:tcBorders>
            <w:noWrap w:val="0"/>
            <w:vAlign w:val="center"/>
          </w:tcPr>
          <w:p w14:paraId="53F64A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产出指标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1BA726A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bottom w:val="single" w:color="000000" w:sz="4" w:space="0"/>
              <w:right w:val="single" w:color="000000" w:sz="4" w:space="0"/>
            </w:tcBorders>
            <w:noWrap w:val="0"/>
            <w:vAlign w:val="center"/>
          </w:tcPr>
          <w:p w14:paraId="718E078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435B72A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057B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00152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290C5A0">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04DD38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满意度指标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0A6ACB8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bottom w:val="single" w:color="000000" w:sz="4" w:space="0"/>
              <w:right w:val="single" w:color="000000" w:sz="4" w:space="0"/>
            </w:tcBorders>
            <w:noWrap w:val="0"/>
            <w:vAlign w:val="center"/>
          </w:tcPr>
          <w:p w14:paraId="396DD17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69FA3CA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r w14:paraId="6FF6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C36A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restart"/>
            <w:tcBorders>
              <w:top w:val="single" w:color="000000" w:sz="4" w:space="0"/>
              <w:left w:val="single" w:color="000000" w:sz="4" w:space="0"/>
              <w:right w:val="single" w:color="000000" w:sz="4" w:space="0"/>
            </w:tcBorders>
            <w:noWrap w:val="0"/>
            <w:vAlign w:val="center"/>
          </w:tcPr>
          <w:p w14:paraId="72DEB04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过程管理指标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0DFC3AF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经济效益指标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11916EEB">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6B257A1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044B7773">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0466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7CDC1704">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left w:val="single" w:color="000000" w:sz="4" w:space="0"/>
              <w:right w:val="single" w:color="000000" w:sz="4" w:space="0"/>
            </w:tcBorders>
            <w:noWrap w:val="0"/>
            <w:vAlign w:val="center"/>
          </w:tcPr>
          <w:p w14:paraId="2F725952">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6D0ACA4E">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社会效益指标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26E3FB6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3BE332F7">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2F9D0E3D">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r>
      <w:tr w14:paraId="1117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3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2FF616">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618" w:type="pct"/>
            <w:vMerge w:val="continue"/>
            <w:tcBorders>
              <w:left w:val="single" w:color="000000" w:sz="4" w:space="0"/>
              <w:bottom w:val="single" w:color="000000" w:sz="4" w:space="0"/>
              <w:right w:val="single" w:color="000000" w:sz="4" w:space="0"/>
            </w:tcBorders>
            <w:noWrap w:val="0"/>
            <w:vAlign w:val="center"/>
          </w:tcPr>
          <w:p w14:paraId="6E84282C">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14:paraId="792D17A1">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r>
              <w:rPr>
                <w:rFonts w:hint="eastAsia" w:asciiTheme="minorEastAsia" w:hAnsiTheme="minorEastAsia" w:eastAsiaTheme="minorEastAsia" w:cstheme="minorEastAsia"/>
                <w:spacing w:val="0"/>
                <w:sz w:val="24"/>
                <w:szCs w:val="24"/>
                <w:vertAlign w:val="baseline"/>
                <w:lang w:val="en-US" w:eastAsia="zh-CN"/>
              </w:rPr>
              <w:t>监督检查指标</w:t>
            </w:r>
          </w:p>
        </w:tc>
        <w:tc>
          <w:tcPr>
            <w:tcW w:w="1282" w:type="pct"/>
            <w:tcBorders>
              <w:top w:val="single" w:color="000000" w:sz="4" w:space="0"/>
              <w:left w:val="single" w:color="000000" w:sz="4" w:space="0"/>
              <w:bottom w:val="single" w:color="000000" w:sz="4" w:space="0"/>
              <w:right w:val="single" w:color="000000" w:sz="4" w:space="0"/>
            </w:tcBorders>
            <w:noWrap w:val="0"/>
            <w:vAlign w:val="center"/>
          </w:tcPr>
          <w:p w14:paraId="37B44525">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pacing w:val="0"/>
                <w:sz w:val="24"/>
                <w:szCs w:val="24"/>
                <w:vertAlign w:val="baseline"/>
                <w:lang w:val="en-US" w:eastAsia="zh-CN"/>
              </w:rPr>
            </w:pPr>
          </w:p>
        </w:tc>
        <w:tc>
          <w:tcPr>
            <w:tcW w:w="908" w:type="pct"/>
            <w:tcBorders>
              <w:top w:val="single" w:color="000000" w:sz="4" w:space="0"/>
              <w:left w:val="single" w:color="000000" w:sz="4" w:space="0"/>
              <w:bottom w:val="single" w:color="000000" w:sz="4" w:space="0"/>
              <w:right w:val="single" w:color="000000" w:sz="4" w:space="0"/>
            </w:tcBorders>
            <w:noWrap w:val="0"/>
            <w:vAlign w:val="center"/>
          </w:tcPr>
          <w:p w14:paraId="3411F4BF">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c>
          <w:tcPr>
            <w:tcW w:w="953" w:type="pct"/>
            <w:tcBorders>
              <w:top w:val="single" w:color="000000" w:sz="4" w:space="0"/>
              <w:left w:val="single" w:color="000000" w:sz="4" w:space="0"/>
              <w:bottom w:val="single" w:color="000000" w:sz="4" w:space="0"/>
              <w:right w:val="single" w:color="000000" w:sz="4" w:space="0"/>
            </w:tcBorders>
            <w:noWrap w:val="0"/>
            <w:vAlign w:val="center"/>
          </w:tcPr>
          <w:p w14:paraId="72A91438">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cstheme="minorEastAsia"/>
                <w:spacing w:val="0"/>
                <w:sz w:val="24"/>
                <w:szCs w:val="24"/>
                <w:vertAlign w:val="baseline"/>
                <w:lang w:val="en-US" w:eastAsia="zh-CN"/>
              </w:rPr>
            </w:pPr>
          </w:p>
        </w:tc>
      </w:tr>
    </w:tbl>
    <w:p w14:paraId="35676E96">
      <w:pPr>
        <w:shd w:val="clear"/>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br w:type="page"/>
      </w:r>
    </w:p>
    <w:p w14:paraId="200A1B9E">
      <w:pPr>
        <w:keepNext w:val="0"/>
        <w:keepLines w:val="0"/>
        <w:pageBreakBefore w:val="0"/>
        <w:widowControl w:val="0"/>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注：1.本表为</w:t>
      </w:r>
      <w:r>
        <w:rPr>
          <w:rFonts w:hint="eastAsia" w:ascii="Times New Roman" w:hAnsi="Times New Roman" w:eastAsia="仿宋" w:cs="Times New Roman"/>
          <w:color w:val="000008"/>
          <w:spacing w:val="0"/>
          <w:kern w:val="0"/>
          <w:sz w:val="24"/>
          <w:szCs w:val="24"/>
          <w:highlight w:val="none"/>
          <w:lang w:val="en-US" w:eastAsia="zh-CN" w:bidi="ar"/>
        </w:rPr>
        <w:t>再生金属</w:t>
      </w:r>
      <w:r>
        <w:rPr>
          <w:rFonts w:hint="default" w:ascii="Times New Roman" w:hAnsi="Times New Roman" w:eastAsia="仿宋" w:cs="Times New Roman"/>
          <w:color w:val="000008"/>
          <w:spacing w:val="0"/>
          <w:kern w:val="0"/>
          <w:sz w:val="24"/>
          <w:szCs w:val="24"/>
          <w:highlight w:val="none"/>
          <w:lang w:val="en-US" w:eastAsia="zh-CN" w:bidi="ar"/>
        </w:rPr>
        <w:t>领域企业奖补资金绩效指标填报专用，指标分为预期效果指标、过程管理指标两大类。</w:t>
      </w:r>
    </w:p>
    <w:p w14:paraId="2B5FC26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lang w:val="en-US" w:eastAsia="zh-CN" w:bidi="ar"/>
        </w:rPr>
        <w:t>2.</w:t>
      </w:r>
      <w:r>
        <w:rPr>
          <w:rFonts w:hint="eastAsia" w:ascii="Times New Roman" w:hAnsi="Times New Roman" w:eastAsia="仿宋" w:cs="Times New Roman"/>
          <w:color w:val="000008"/>
          <w:spacing w:val="0"/>
          <w:kern w:val="0"/>
          <w:sz w:val="24"/>
          <w:szCs w:val="24"/>
          <w:lang w:val="en-US" w:eastAsia="zh-CN" w:bidi="ar"/>
        </w:rPr>
        <w:t>填报说明</w:t>
      </w:r>
      <w:r>
        <w:rPr>
          <w:rFonts w:hint="default" w:ascii="Times New Roman" w:hAnsi="Times New Roman" w:eastAsia="仿宋" w:cs="Times New Roman"/>
          <w:color w:val="000008"/>
          <w:spacing w:val="0"/>
          <w:kern w:val="0"/>
          <w:sz w:val="24"/>
          <w:szCs w:val="24"/>
          <w:highlight w:val="none"/>
          <w:lang w:val="en-US" w:eastAsia="zh-CN" w:bidi="ar"/>
        </w:rPr>
        <w:t>：</w:t>
      </w:r>
    </w:p>
    <w:p w14:paraId="45196A5E">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①产出指标填写要点：可聚焦项目实物产出，全部量化。可围绕</w:t>
      </w:r>
      <w:r>
        <w:rPr>
          <w:rFonts w:hint="eastAsia" w:ascii="Times New Roman" w:hAnsi="Times New Roman" w:eastAsia="仿宋" w:cs="Times New Roman"/>
          <w:color w:val="000008"/>
          <w:spacing w:val="0"/>
          <w:kern w:val="0"/>
          <w:sz w:val="24"/>
          <w:szCs w:val="24"/>
          <w:highlight w:val="none"/>
          <w:lang w:val="en-US" w:eastAsia="zh-CN" w:bidi="ar"/>
        </w:rPr>
        <w:t>再生金属</w:t>
      </w:r>
      <w:r>
        <w:rPr>
          <w:rFonts w:hint="default" w:ascii="Times New Roman" w:hAnsi="Times New Roman" w:eastAsia="仿宋" w:cs="Times New Roman"/>
          <w:color w:val="000008"/>
          <w:spacing w:val="0"/>
          <w:kern w:val="0"/>
          <w:sz w:val="24"/>
          <w:szCs w:val="24"/>
          <w:highlight w:val="none"/>
          <w:lang w:val="en-US" w:eastAsia="zh-CN" w:bidi="ar"/>
        </w:rPr>
        <w:t>全链条的回收量、</w:t>
      </w:r>
      <w:r>
        <w:rPr>
          <w:rFonts w:hint="eastAsia" w:ascii="Times New Roman" w:hAnsi="Times New Roman" w:eastAsia="仿宋" w:cs="Times New Roman"/>
          <w:color w:val="000008"/>
          <w:spacing w:val="0"/>
          <w:kern w:val="0"/>
          <w:sz w:val="24"/>
          <w:szCs w:val="24"/>
          <w:highlight w:val="none"/>
          <w:lang w:val="en-US" w:eastAsia="zh-CN" w:bidi="ar"/>
        </w:rPr>
        <w:t>加工</w:t>
      </w:r>
      <w:r>
        <w:rPr>
          <w:rFonts w:hint="default" w:ascii="Times New Roman" w:hAnsi="Times New Roman" w:eastAsia="仿宋" w:cs="Times New Roman"/>
          <w:color w:val="000008"/>
          <w:spacing w:val="0"/>
          <w:kern w:val="0"/>
          <w:sz w:val="24"/>
          <w:szCs w:val="24"/>
          <w:highlight w:val="none"/>
          <w:lang w:val="en-US" w:eastAsia="zh-CN" w:bidi="ar"/>
        </w:rPr>
        <w:t>量、</w:t>
      </w:r>
      <w:r>
        <w:rPr>
          <w:rFonts w:hint="eastAsia" w:ascii="Times New Roman" w:hAnsi="Times New Roman" w:eastAsia="仿宋" w:cs="Times New Roman"/>
          <w:color w:val="000008"/>
          <w:spacing w:val="0"/>
          <w:kern w:val="0"/>
          <w:sz w:val="24"/>
          <w:szCs w:val="24"/>
          <w:highlight w:val="none"/>
          <w:lang w:val="en-US" w:eastAsia="zh-CN" w:bidi="ar"/>
        </w:rPr>
        <w:t>产生量</w:t>
      </w:r>
      <w:r>
        <w:rPr>
          <w:rFonts w:hint="default" w:ascii="Times New Roman" w:hAnsi="Times New Roman" w:eastAsia="仿宋" w:cs="Times New Roman"/>
          <w:color w:val="000008"/>
          <w:spacing w:val="0"/>
          <w:kern w:val="0"/>
          <w:sz w:val="24"/>
          <w:szCs w:val="24"/>
          <w:highlight w:val="none"/>
          <w:lang w:val="en-US" w:eastAsia="zh-CN" w:bidi="ar"/>
        </w:rPr>
        <w:t>等；</w:t>
      </w:r>
    </w:p>
    <w:p w14:paraId="3700D9AB">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②满意度指标填写要点：可分为</w:t>
      </w:r>
      <w:r>
        <w:rPr>
          <w:rFonts w:hint="eastAsia" w:ascii="Times New Roman" w:hAnsi="Times New Roman" w:eastAsia="仿宋" w:cs="Times New Roman"/>
          <w:color w:val="000008"/>
          <w:spacing w:val="0"/>
          <w:kern w:val="0"/>
          <w:sz w:val="24"/>
          <w:szCs w:val="24"/>
          <w:highlight w:val="none"/>
          <w:lang w:val="en-US" w:eastAsia="zh-CN" w:bidi="ar"/>
        </w:rPr>
        <w:t>原材料采购</w:t>
      </w:r>
      <w:r>
        <w:rPr>
          <w:rFonts w:hint="default" w:ascii="Times New Roman" w:hAnsi="Times New Roman" w:eastAsia="仿宋" w:cs="Times New Roman"/>
          <w:color w:val="000008"/>
          <w:spacing w:val="0"/>
          <w:kern w:val="0"/>
          <w:sz w:val="24"/>
          <w:szCs w:val="24"/>
          <w:highlight w:val="none"/>
          <w:lang w:val="en-US" w:eastAsia="zh-CN" w:bidi="ar"/>
        </w:rPr>
        <w:t>上游</w:t>
      </w:r>
      <w:r>
        <w:rPr>
          <w:rFonts w:hint="eastAsia" w:ascii="Times New Roman" w:hAnsi="Times New Roman" w:eastAsia="仿宋" w:cs="Times New Roman"/>
          <w:color w:val="000008"/>
          <w:spacing w:val="0"/>
          <w:kern w:val="0"/>
          <w:sz w:val="24"/>
          <w:szCs w:val="24"/>
          <w:highlight w:val="none"/>
          <w:lang w:val="en-US" w:eastAsia="zh-CN" w:bidi="ar"/>
        </w:rPr>
        <w:t>客户</w:t>
      </w:r>
      <w:r>
        <w:rPr>
          <w:rFonts w:hint="default" w:ascii="Times New Roman" w:hAnsi="Times New Roman" w:eastAsia="仿宋" w:cs="Times New Roman"/>
          <w:color w:val="000008"/>
          <w:spacing w:val="0"/>
          <w:kern w:val="0"/>
          <w:sz w:val="24"/>
          <w:szCs w:val="24"/>
          <w:highlight w:val="none"/>
          <w:lang w:val="en-US" w:eastAsia="zh-CN" w:bidi="ar"/>
        </w:rPr>
        <w:t>、产品</w:t>
      </w:r>
      <w:r>
        <w:rPr>
          <w:rFonts w:hint="eastAsia" w:ascii="Times New Roman" w:hAnsi="Times New Roman" w:eastAsia="仿宋" w:cs="Times New Roman"/>
          <w:color w:val="000008"/>
          <w:spacing w:val="0"/>
          <w:kern w:val="0"/>
          <w:sz w:val="24"/>
          <w:szCs w:val="24"/>
          <w:highlight w:val="none"/>
          <w:lang w:val="en-US" w:eastAsia="zh-CN" w:bidi="ar"/>
        </w:rPr>
        <w:t>销售</w:t>
      </w:r>
      <w:r>
        <w:rPr>
          <w:rFonts w:hint="default" w:ascii="Times New Roman" w:hAnsi="Times New Roman" w:eastAsia="仿宋" w:cs="Times New Roman"/>
          <w:color w:val="000008"/>
          <w:spacing w:val="0"/>
          <w:kern w:val="0"/>
          <w:sz w:val="24"/>
          <w:szCs w:val="24"/>
          <w:highlight w:val="none"/>
          <w:lang w:val="en-US" w:eastAsia="zh-CN" w:bidi="ar"/>
        </w:rPr>
        <w:t>下游客户、政府监管部门三类评价主体，综合体现项目经营口碑与合规基础，目标值不宜低于85%；</w:t>
      </w:r>
    </w:p>
    <w:p w14:paraId="2CB40897">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③经济效益指标填写要点：量化产业收益、财政贡献、降本增效，证明企业具备市场化可持续运营能力，避免单纯依靠补贴生存。可从产值营收、税收贡献、生产成本管控</w:t>
      </w:r>
      <w:r>
        <w:rPr>
          <w:rFonts w:hint="eastAsia" w:ascii="Times New Roman" w:hAnsi="Times New Roman" w:eastAsia="仿宋" w:cs="Times New Roman"/>
          <w:color w:val="000008"/>
          <w:spacing w:val="0"/>
          <w:kern w:val="0"/>
          <w:sz w:val="24"/>
          <w:szCs w:val="24"/>
          <w:highlight w:val="none"/>
          <w:lang w:val="en-US" w:eastAsia="zh-CN" w:bidi="ar"/>
        </w:rPr>
        <w:t>等</w:t>
      </w:r>
      <w:r>
        <w:rPr>
          <w:rFonts w:hint="default" w:ascii="Times New Roman" w:hAnsi="Times New Roman" w:eastAsia="仿宋" w:cs="Times New Roman"/>
          <w:color w:val="000008"/>
          <w:spacing w:val="0"/>
          <w:kern w:val="0"/>
          <w:sz w:val="24"/>
          <w:szCs w:val="24"/>
          <w:highlight w:val="none"/>
          <w:lang w:val="en-US" w:eastAsia="zh-CN" w:bidi="ar"/>
        </w:rPr>
        <w:t>维度量化项目市场化运营能力；</w:t>
      </w:r>
    </w:p>
    <w:p w14:paraId="5A13ABA9">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default" w:ascii="Times New Roman" w:hAnsi="Times New Roman" w:eastAsia="仿宋" w:cs="Times New Roman"/>
          <w:color w:val="000008"/>
          <w:spacing w:val="0"/>
          <w:kern w:val="0"/>
          <w:sz w:val="24"/>
          <w:szCs w:val="24"/>
          <w:highlight w:val="none"/>
          <w:lang w:val="en-US" w:eastAsia="zh-CN" w:bidi="ar"/>
        </w:rPr>
        <w:t>④社会效益指标填写要点：可聚焦绿色低碳、就业带动、固废污染减排、产业链培育等导向；</w:t>
      </w:r>
    </w:p>
    <w:p w14:paraId="63861994">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highlight w:val="none"/>
          <w:lang w:val="en-US" w:eastAsia="zh-CN" w:bidi="ar"/>
        </w:rPr>
      </w:pPr>
      <w:r>
        <w:rPr>
          <w:rFonts w:hint="eastAsia" w:ascii="Times New Roman" w:hAnsi="Times New Roman" w:eastAsia="仿宋" w:cs="Times New Roman"/>
          <w:color w:val="000008"/>
          <w:spacing w:val="0"/>
          <w:kern w:val="0"/>
          <w:sz w:val="24"/>
          <w:szCs w:val="24"/>
          <w:highlight w:val="none"/>
          <w:lang w:val="en-US" w:eastAsia="zh-CN" w:bidi="ar"/>
        </w:rPr>
        <w:t>⑤</w:t>
      </w:r>
      <w:r>
        <w:rPr>
          <w:rFonts w:hint="default" w:ascii="Times New Roman" w:hAnsi="Times New Roman" w:eastAsia="仿宋" w:cs="Times New Roman"/>
          <w:color w:val="000008"/>
          <w:spacing w:val="0"/>
          <w:kern w:val="0"/>
          <w:sz w:val="24"/>
          <w:szCs w:val="24"/>
          <w:highlight w:val="none"/>
          <w:lang w:val="en-US" w:eastAsia="zh-CN" w:bidi="ar"/>
        </w:rPr>
        <w:t>监督检查指标填写要点：可明确溯源台账、隐患整改、资金专款专用等刚性管控要求，环保、安全相关目标须承诺零行政处罚。</w:t>
      </w:r>
    </w:p>
    <w:p w14:paraId="2644B1D1">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line="240" w:lineRule="auto"/>
        <w:ind w:left="0" w:leftChars="0" w:right="0" w:rightChars="0" w:firstLine="480" w:firstLineChars="200"/>
        <w:jc w:val="left"/>
        <w:textAlignment w:val="auto"/>
        <w:rPr>
          <w:rFonts w:hint="default" w:ascii="Times New Roman" w:hAnsi="Times New Roman" w:eastAsia="仿宋" w:cs="Times New Roman"/>
          <w:color w:val="000008"/>
          <w:spacing w:val="0"/>
          <w:kern w:val="0"/>
          <w:sz w:val="24"/>
          <w:szCs w:val="24"/>
          <w:lang w:val="en-US" w:eastAsia="zh-CN" w:bidi="ar"/>
        </w:rPr>
      </w:pPr>
      <w:r>
        <w:rPr>
          <w:rFonts w:hint="default" w:ascii="Times New Roman" w:hAnsi="Times New Roman" w:eastAsia="仿宋" w:cs="Times New Roman"/>
          <w:color w:val="000008"/>
          <w:spacing w:val="0"/>
          <w:kern w:val="0"/>
          <w:sz w:val="24"/>
          <w:szCs w:val="24"/>
          <w:lang w:val="en-US" w:eastAsia="zh-CN" w:bidi="ar"/>
        </w:rPr>
        <w:t>3.企业指标数据应与企业产能备案、环境影响评价、年度财务报表、生产运营台账等佐证材料保持一致，确保数据可核查、可溯源；同时可根据自身资金投入用途灵活调整填写。</w:t>
      </w:r>
    </w:p>
    <w:p w14:paraId="12F331AB">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p>
    <w:p w14:paraId="5B18A1B2">
      <w:pPr>
        <w:shd w:val="clear"/>
        <w:rPr>
          <w:rFonts w:hint="default" w:ascii="Times New Roman" w:hAnsi="Times New Roman" w:eastAsia="黑体" w:cs="Times New Roman"/>
          <w:b w:val="0"/>
          <w:bCs w:val="0"/>
          <w:i w:val="0"/>
          <w:iCs w:val="0"/>
          <w:caps w:val="0"/>
          <w:color w:val="0F1115"/>
          <w:spacing w:val="0"/>
          <w:sz w:val="32"/>
          <w:szCs w:val="32"/>
          <w:shd w:val="clear" w:fill="FFFFFF"/>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E37D07-6019-4577-95FB-27E3FEA036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42D3132-F474-4CD3-A271-240A74A85B0E}"/>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339E1F6B-F2F0-44D4-9C8E-D266422E6440}"/>
  </w:font>
  <w:font w:name="仿宋">
    <w:panose1 w:val="02010609060101010101"/>
    <w:charset w:val="86"/>
    <w:family w:val="auto"/>
    <w:pitch w:val="default"/>
    <w:sig w:usb0="800002BF" w:usb1="38CF7CFA" w:usb2="00000016" w:usb3="00000000" w:csb0="00040001" w:csb1="00000000"/>
    <w:embedRegular r:id="rId4" w:fontKey="{9DF785E0-8398-4591-9F21-641C59D5C460}"/>
  </w:font>
  <w:font w:name="方正黑体_GBK">
    <w:altName w:val="微软雅黑"/>
    <w:panose1 w:val="03000509000000000000"/>
    <w:charset w:val="86"/>
    <w:family w:val="auto"/>
    <w:pitch w:val="default"/>
    <w:sig w:usb0="00000000" w:usb1="00000000" w:usb2="00000000" w:usb3="00000000" w:csb0="00040000" w:csb1="00000000"/>
    <w:embedRegular r:id="rId5" w:fontKey="{C9BF3EE9-3980-43BF-846E-37C6B866114A}"/>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7A59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951B9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C7C85"/>
    <w:rsid w:val="043C61A7"/>
    <w:rsid w:val="090C12D0"/>
    <w:rsid w:val="0BEF6A57"/>
    <w:rsid w:val="0DCD5DB5"/>
    <w:rsid w:val="103D0568"/>
    <w:rsid w:val="1494035C"/>
    <w:rsid w:val="192A1841"/>
    <w:rsid w:val="1BE93BD8"/>
    <w:rsid w:val="1DD61730"/>
    <w:rsid w:val="1FBD4921"/>
    <w:rsid w:val="281A2C55"/>
    <w:rsid w:val="28D56B7C"/>
    <w:rsid w:val="2B764647"/>
    <w:rsid w:val="2D747745"/>
    <w:rsid w:val="31BF3C20"/>
    <w:rsid w:val="32872E53"/>
    <w:rsid w:val="35FA2C68"/>
    <w:rsid w:val="3EB451EA"/>
    <w:rsid w:val="4B6A5957"/>
    <w:rsid w:val="4EF82716"/>
    <w:rsid w:val="5BA71E13"/>
    <w:rsid w:val="60E55404"/>
    <w:rsid w:val="6274240D"/>
    <w:rsid w:val="64A62A19"/>
    <w:rsid w:val="65510D5D"/>
    <w:rsid w:val="6A257206"/>
    <w:rsid w:val="6C5C6966"/>
    <w:rsid w:val="6FED6D10"/>
    <w:rsid w:val="748938A5"/>
    <w:rsid w:val="76263B40"/>
    <w:rsid w:val="7FFA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ind w:firstLine="0" w:firstLineChars="0"/>
      <w:jc w:val="left"/>
      <w:outlineLvl w:val="3"/>
    </w:pPr>
    <w:rPr>
      <w:rFonts w:ascii="Arial" w:hAnsi="Arial"/>
      <w:b/>
      <w:bCs/>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next w:val="4"/>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f2862471-0145-4d44-b8b8-b4a722828129</errorID>
      <errorWord>，</errorWord>
      <group>L1_Word</group>
      <groupName>字词问题</groupName>
      <ability>L2_Typo</ability>
      <abilityName>字词错误</abilityName>
      <candidateList>
        <item>，并</item>
      </candidateList>
      <explain/>
      <paraID>27E207EA</paraID>
      <start>31</start>
      <end>32</end>
      <status>unmodified</status>
      <modifiedWord/>
      <trackRevisions>false</trackRevisions>
    </reviewItem>
    <reviewItem>
      <errorID>d1266060-d2dc-42f5-83e8-621fc194a0e7</errorID>
      <errorWord>消防设置</errorWord>
      <group>L1_Word</group>
      <groupName>字词问题</groupName>
      <ability>L2_Typo</ability>
      <abilityName>字词错误</abilityName>
      <candidateList>
        <item>消防设施</item>
      </candidateList>
      <explain/>
      <paraID>47474373</paraID>
      <start>111</start>
      <end>115</end>
      <status>modified</status>
      <modifiedWord>消防设施</modifiedWord>
      <trackRevisions>false</trackRevisions>
    </reviewItem>
    <reviewItem>
      <errorID>a21847e1-cd34-4ee9-9096-26a5eed107d2</errorID>
      <errorWord>；</errorWord>
      <group>L1_Punc</group>
      <groupName>标点问题</groupName>
      <ability>L2_Punc_CN</ability>
      <abilityName>标点符号问题</abilityName>
      <candidateList>
        <item>。</item>
      </candidateList>
      <explain/>
      <paraID>1C38EAD2</paraID>
      <start>119</start>
      <end>120</end>
      <status>unmodified</status>
      <modifiedWord/>
      <trackRevisions>false</trackRevisions>
    </reviewItem>
    <reviewItem>
      <errorID>d9ea310e-f7b3-4044-9645-719cec4de73e</errorID>
      <errorWord>无废城市</errorWord>
      <group>L1_Political</group>
      <groupName>政治性问题</groupName>
      <ability>L2_Keyword</ability>
      <abilityName>固定表述</abilityName>
      <candidateList>
        <item>“无废城市”</item>
      </candidateList>
      <explain>注意检查当前固定表述标点是否使用规范。</explain>
      <paraID> E692D29</paraID>
      <start>13</start>
      <end>17</end>
      <status>unmodified</status>
      <modifiedWord/>
      <trackRevisions>false</trackRevisions>
    </reviewItem>
    <reviewItem>
      <errorID>6f4ed3b8-7c95-46a6-a875-6ee1c097942e</errorID>
      <errorWord>无废城市</errorWord>
      <group>L1_Political</group>
      <groupName>政治性问题</groupName>
      <ability>L2_Keyword</ability>
      <abilityName>固定表述</abilityName>
      <candidateList>
        <item>“无废城市”</item>
      </candidateList>
      <explain>注意检查当前固定表述标点是否使用规范。</explain>
      <paraID>733D0587</paraID>
      <start>2</start>
      <end>6</end>
      <status>unmodified</status>
      <modifiedWord/>
      <trackRevisions>false</trackRevisions>
    </reviewItem>
    <reviewItem>
      <errorID>22081046-06df-4b92-9759-cd7fb68a7ddc</errorID>
      <errorWord>；</errorWord>
      <group>L1_Punc</group>
      <groupName>标点问题</groupName>
      <ability>L2_Punc_CN</ability>
      <abilityName>标点符号问题</abilityName>
      <candidateList>
        <item>。</item>
      </candidateList>
      <explain/>
      <paraID>45196A5E</paraID>
      <start>48</start>
      <end>49</end>
      <status>unmodified</status>
      <modifiedWord/>
      <trackRevisions>false</trackRevisions>
    </reviewItem>
    <reviewItem>
      <errorID>50264617-f9e7-406a-84fa-1806260422e0</errorID>
      <errorWord>控</errorWord>
      <group>L1_Word</group>
      <groupName>字词问题</groupName>
      <ability>L2_Typo</ability>
      <abilityName>字词错误</abilityName>
      <candidateList>
        <item>控等</item>
      </candidateList>
      <explain/>
      <paraID>2CB40897</paraID>
      <start>74</start>
      <end>75</end>
      <status>unmodified</status>
      <modifiedWord/>
      <trackRevisions>false</trackRevisions>
    </reviewItem>
    <reviewItem>
      <errorID>c7e18a78-1084-45b3-bfdc-e5f46d7a5793</errorID>
      <errorWord>；</errorWord>
      <group>L1_Punc</group>
      <groupName>标点问题</groupName>
      <ability>L2_Punc_CN</ability>
      <abilityName>标点符号问题</abilityName>
      <candidateList>
        <item>。</item>
      </candidateList>
      <explain/>
      <paraID>5A13ABA9</paraID>
      <start>40</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424d4d-fc50-433b-959f-56251b8d36e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2300</Words>
  <Characters>2354</Characters>
  <Lines>0</Lines>
  <Paragraphs>0</Paragraphs>
  <TotalTime>5</TotalTime>
  <ScaleCrop>false</ScaleCrop>
  <LinksUpToDate>false</LinksUpToDate>
  <CharactersWithSpaces>2480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2026-07-16T08:15:00Z</dcterms:created>
  <dc:creator>Administrator</dc:creator>
  <cp:lastModifiedBy>常睿</cp:lastModifiedBy>
  <dcterms:modified xsi:type="dcterms:W3CDTF">2026-08-14T10:08:27Z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eyJoZGlkIjoiMzdhNzljODQ2M2M2MzJlMDU0OTU4MmFmOGI2MTFiMTEiLCJ1c2VySWQiOiIxNjI4ODY1MjI4In0=</vt:lpwstr>
  </property>
  <property fmtid="{D5CDD505-2E9C-101B-9397-08002B2CF9AE}" pid="4" name="ICV">
    <vt:lpwstr>B2AD511476B84AAA8AC90FF927CA8699_13</vt:lpwstr>
  </property>
</Properties>
</file>