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AB53">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3</w:t>
      </w:r>
    </w:p>
    <w:p w14:paraId="45B5C1A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Arial Unicode MS" w:cs="Times New Roman"/>
          <w:sz w:val="32"/>
          <w:szCs w:val="32"/>
        </w:rPr>
      </w:pPr>
    </w:p>
    <w:p w14:paraId="380B155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Arial Unicode MS" w:cs="Times New Roman"/>
          <w:sz w:val="32"/>
          <w:szCs w:val="32"/>
        </w:rPr>
      </w:pPr>
    </w:p>
    <w:p w14:paraId="05795D2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Arial Unicode MS" w:cs="Times New Roman"/>
          <w:sz w:val="32"/>
          <w:szCs w:val="32"/>
        </w:rPr>
      </w:pPr>
    </w:p>
    <w:p w14:paraId="468439C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Arial Unicode MS" w:cs="Times New Roman"/>
          <w:sz w:val="32"/>
          <w:szCs w:val="32"/>
        </w:rPr>
      </w:pPr>
    </w:p>
    <w:p w14:paraId="194084C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Arial Unicode MS" w:cs="Times New Roman"/>
          <w:sz w:val="32"/>
          <w:szCs w:val="32"/>
        </w:rPr>
      </w:pPr>
    </w:p>
    <w:p w14:paraId="4076DBEE">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textAlignment w:val="auto"/>
        <w:rPr>
          <w:rFonts w:hint="default" w:ascii="Times New Roman" w:hAnsi="Times New Roman" w:eastAsia="Arial Unicode MS" w:cs="Times New Roman"/>
          <w:sz w:val="44"/>
          <w:szCs w:val="44"/>
        </w:rPr>
      </w:pPr>
    </w:p>
    <w:p w14:paraId="4AF1BFC5">
      <w:pPr>
        <w:keepNext w:val="0"/>
        <w:keepLines w:val="0"/>
        <w:pageBreakBefore w:val="0"/>
        <w:widowControl w:val="0"/>
        <w:shd w:val="clea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2026年度山东省工业再生资源</w:t>
      </w:r>
    </w:p>
    <w:p w14:paraId="7391BB48">
      <w:pPr>
        <w:keepNext w:val="0"/>
        <w:keepLines w:val="0"/>
        <w:pageBreakBefore w:val="0"/>
        <w:widowControl w:val="0"/>
        <w:shd w:val="clea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废旧动力电池领域</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循环利用</w:t>
      </w:r>
    </w:p>
    <w:p w14:paraId="2DD73FFF">
      <w:pPr>
        <w:keepNext w:val="0"/>
        <w:keepLines w:val="0"/>
        <w:pageBreakBefore w:val="0"/>
        <w:widowControl w:val="0"/>
        <w:shd w:val="clea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节能降碳奖补资金申报书</w:t>
      </w:r>
    </w:p>
    <w:p w14:paraId="47E1A67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A153F7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647204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B97889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0DEEC7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378249F">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C180D6D">
      <w:pPr>
        <w:keepNext w:val="0"/>
        <w:keepLines w:val="0"/>
        <w:pageBreakBefore w:val="0"/>
        <w:widowControl w:val="0"/>
        <w:shd w:val="clear"/>
        <w:kinsoku/>
        <w:wordWrap/>
        <w:overflowPunct/>
        <w:topLinePunct w:val="0"/>
        <w:autoSpaceDE/>
        <w:autoSpaceDN/>
        <w:bidi w:val="0"/>
        <w:adjustRightInd/>
        <w:snapToGrid/>
        <w:spacing w:line="560" w:lineRule="exact"/>
        <w:ind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申报单位名称：</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（盖章）</w:t>
      </w:r>
    </w:p>
    <w:p w14:paraId="1F7C1E62">
      <w:pPr>
        <w:keepNext w:val="0"/>
        <w:keepLines w:val="0"/>
        <w:pageBreakBefore w:val="0"/>
        <w:widowControl w:val="0"/>
        <w:shd w:val="clear"/>
        <w:kinsoku/>
        <w:wordWrap/>
        <w:overflowPunct/>
        <w:topLinePunct w:val="0"/>
        <w:autoSpaceDE/>
        <w:autoSpaceDN/>
        <w:bidi w:val="0"/>
        <w:adjustRightInd/>
        <w:snapToGrid/>
        <w:spacing w:line="560" w:lineRule="exact"/>
        <w:ind w:firstLine="1280" w:firstLineChars="4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申报类别：废旧动力电池综合利用</w:t>
      </w:r>
    </w:p>
    <w:p w14:paraId="7FC922AE">
      <w:pPr>
        <w:keepNext w:val="0"/>
        <w:keepLines w:val="0"/>
        <w:pageBreakBefore w:val="0"/>
        <w:widowControl w:val="0"/>
        <w:shd w:val="clear"/>
        <w:kinsoku/>
        <w:wordWrap/>
        <w:overflowPunct/>
        <w:topLinePunct w:val="0"/>
        <w:autoSpaceDE/>
        <w:autoSpaceDN/>
        <w:bidi w:val="0"/>
        <w:adjustRightInd/>
        <w:snapToGrid/>
        <w:spacing w:line="560" w:lineRule="exact"/>
        <w:ind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en-US" w:eastAsia="zh-CN"/>
        </w:rPr>
        <w:t>时间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14:paraId="17E76EFE">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15F0C44">
      <w:pPr>
        <w:pStyle w:val="2"/>
        <w:rPr>
          <w:rFonts w:hint="default"/>
          <w:sz w:val="32"/>
          <w:szCs w:val="32"/>
        </w:rPr>
      </w:pPr>
    </w:p>
    <w:p w14:paraId="7A49CB8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山东省工业和信息化厅 制</w:t>
      </w:r>
    </w:p>
    <w:p w14:paraId="163D6AB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填报说明</w:t>
      </w:r>
    </w:p>
    <w:p w14:paraId="5124AEC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32"/>
          <w:szCs w:val="32"/>
        </w:rPr>
      </w:pPr>
    </w:p>
    <w:p w14:paraId="56394F5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一、本申报书为申报“山东省工业再生资源</w:t>
      </w:r>
      <w:r>
        <w:rPr>
          <w:rFonts w:hint="default" w:ascii="Times New Roman" w:hAnsi="Times New Roman" w:eastAsia="仿宋" w:cs="Times New Roman"/>
          <w:sz w:val="32"/>
          <w:szCs w:val="32"/>
          <w:lang w:eastAsia="zh-CN"/>
        </w:rPr>
        <w:t>（废旧动力电池领域）</w:t>
      </w:r>
      <w:r>
        <w:rPr>
          <w:rFonts w:hint="default" w:ascii="Times New Roman" w:hAnsi="Times New Roman" w:eastAsia="仿宋" w:cs="Times New Roman"/>
          <w:sz w:val="32"/>
          <w:szCs w:val="32"/>
        </w:rPr>
        <w:t>循环利用节能降碳奖补资金”的</w:t>
      </w:r>
      <w:r>
        <w:rPr>
          <w:rFonts w:hint="eastAsia" w:ascii="黑体" w:hAnsi="黑体" w:eastAsia="黑体" w:cs="黑体"/>
          <w:sz w:val="32"/>
          <w:szCs w:val="32"/>
          <w:lang w:val="en-US" w:eastAsia="zh-CN"/>
        </w:rPr>
        <w:t>废旧动力电池综合利用</w:t>
      </w:r>
      <w:r>
        <w:rPr>
          <w:rFonts w:hint="default" w:ascii="Times New Roman" w:hAnsi="Times New Roman" w:eastAsia="仿宋" w:cs="Times New Roman"/>
          <w:sz w:val="32"/>
          <w:szCs w:val="32"/>
        </w:rPr>
        <w:t>企业填写</w:t>
      </w:r>
      <w:r>
        <w:rPr>
          <w:rFonts w:hint="eastAsia" w:ascii="Times New Roman" w:hAnsi="Times New Roman" w:eastAsia="仿宋" w:cs="Times New Roman"/>
          <w:sz w:val="32"/>
          <w:szCs w:val="32"/>
          <w:lang w:eastAsia="zh-CN"/>
        </w:rPr>
        <w:t>，</w:t>
      </w:r>
      <w:r>
        <w:rPr>
          <w:rFonts w:hint="eastAsia" w:ascii="Times New Roman" w:hAnsi="Times New Roman" w:eastAsia="仿宋_GB2312" w:cs="Times New Roman"/>
          <w:sz w:val="32"/>
          <w:szCs w:val="32"/>
          <w:lang w:val="en-US" w:eastAsia="zh-CN"/>
        </w:rPr>
        <w:t>企业从事领域须为</w:t>
      </w:r>
      <w:r>
        <w:rPr>
          <w:rFonts w:hint="eastAsia" w:ascii="黑体" w:hAnsi="黑体" w:eastAsia="黑体" w:cs="黑体"/>
          <w:sz w:val="32"/>
          <w:szCs w:val="32"/>
          <w:lang w:val="en-US" w:eastAsia="zh-CN"/>
        </w:rPr>
        <w:t>废旧动力电池综合利用</w:t>
      </w:r>
      <w:r>
        <w:rPr>
          <w:rFonts w:hint="default" w:ascii="Times New Roman" w:hAnsi="Times New Roman" w:eastAsia="仿宋_GB2312" w:cs="Times New Roman"/>
          <w:sz w:val="32"/>
          <w:szCs w:val="32"/>
        </w:rPr>
        <w:t>。</w:t>
      </w:r>
    </w:p>
    <w:p w14:paraId="78C6EB9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二、申报单位应按照填写要求和实际情况，认真准确填写各项内容。如有虚假填报，撤销其资格，且不得再</w:t>
      </w:r>
      <w:r>
        <w:rPr>
          <w:rFonts w:hint="default" w:ascii="Times New Roman" w:hAnsi="Times New Roman" w:eastAsia="仿宋" w:cs="Times New Roman"/>
          <w:sz w:val="32"/>
          <w:szCs w:val="32"/>
          <w:lang w:val="en-US" w:eastAsia="zh-CN"/>
        </w:rPr>
        <w:t>次</w:t>
      </w:r>
      <w:r>
        <w:rPr>
          <w:rFonts w:hint="default" w:ascii="Times New Roman" w:hAnsi="Times New Roman" w:eastAsia="仿宋" w:cs="Times New Roman"/>
          <w:sz w:val="32"/>
          <w:szCs w:val="32"/>
        </w:rPr>
        <w:t>申报。</w:t>
      </w:r>
    </w:p>
    <w:p w14:paraId="7A6DFB5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三、请根据</w:t>
      </w:r>
      <w:r>
        <w:rPr>
          <w:rFonts w:hint="default" w:ascii="Times New Roman" w:hAnsi="Times New Roman" w:eastAsia="仿宋" w:cs="Times New Roman"/>
          <w:sz w:val="32"/>
          <w:szCs w:val="32"/>
          <w:lang w:eastAsia="zh-CN"/>
        </w:rPr>
        <w:t>《山东省工业再生资源循环利用节能降碳奖补资金管理办法及实施细则》</w:t>
      </w:r>
      <w:r>
        <w:rPr>
          <w:rFonts w:hint="default" w:ascii="Times New Roman" w:hAnsi="Times New Roman" w:eastAsia="仿宋" w:cs="Times New Roman"/>
          <w:sz w:val="32"/>
          <w:szCs w:val="32"/>
          <w:lang w:val="en-US" w:eastAsia="zh-CN"/>
        </w:rPr>
        <w:t>及本申报书要求填写</w:t>
      </w:r>
      <w:r>
        <w:rPr>
          <w:rFonts w:hint="default" w:ascii="Times New Roman" w:hAnsi="Times New Roman" w:eastAsia="仿宋" w:cs="Times New Roman"/>
          <w:sz w:val="32"/>
          <w:szCs w:val="32"/>
        </w:rPr>
        <w:t>，附相关说明和证明材料。</w:t>
      </w:r>
    </w:p>
    <w:p w14:paraId="44710C1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四、申报书使用A4纸双面印刷，装订成册，一式两份并加盖公章。</w:t>
      </w:r>
    </w:p>
    <w:p w14:paraId="31E478B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C84498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i w:val="0"/>
          <w:iCs w:val="0"/>
          <w:caps w:val="0"/>
          <w:color w:val="0F1115"/>
          <w:spacing w:val="0"/>
          <w:sz w:val="36"/>
          <w:szCs w:val="36"/>
          <w:shd w:val="clear" w:fill="FFFFFF"/>
          <w:lang w:eastAsia="zh-CN"/>
        </w:rPr>
      </w:pPr>
      <w:r>
        <w:rPr>
          <w:rFonts w:hint="default" w:ascii="Times New Roman" w:hAnsi="Times New Roman" w:eastAsia="方正小标宋简体" w:cs="Times New Roman"/>
          <w:sz w:val="44"/>
          <w:szCs w:val="44"/>
          <w:lang w:eastAsia="zh-CN"/>
        </w:rPr>
        <w:t>承诺书</w:t>
      </w:r>
    </w:p>
    <w:p w14:paraId="22FD101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FF83E2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我单位郑重承诺，所提交的全部申报资料真实有效、完整准确，不存在任何虚假</w:t>
      </w:r>
      <w:r>
        <w:rPr>
          <w:rFonts w:hint="default" w:ascii="Times New Roman" w:hAnsi="Times New Roman" w:eastAsia="仿宋" w:cs="Times New Roman"/>
          <w:sz w:val="32"/>
          <w:szCs w:val="32"/>
          <w:lang w:val="en-US" w:eastAsia="zh-CN"/>
        </w:rPr>
        <w:t>数据</w:t>
      </w:r>
      <w:r>
        <w:rPr>
          <w:rFonts w:hint="default" w:ascii="Times New Roman" w:hAnsi="Times New Roman" w:eastAsia="仿宋" w:cs="Times New Roman"/>
          <w:sz w:val="32"/>
          <w:szCs w:val="32"/>
        </w:rPr>
        <w:t>。</w:t>
      </w:r>
    </w:p>
    <w:p w14:paraId="13AE1DD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我单位符合《山东省工业再生资源循环利用节能降碳奖补资金管理办法及实施细则》要求，202</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年以来未发生过生产安全、质量和环境污染事故；无偷税漏税、失信惩戒和不良信用记录等其他违法违规行为。</w:t>
      </w:r>
    </w:p>
    <w:p w14:paraId="57EDCB3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我单位承诺，奖补资金将严格按照规定</w:t>
      </w:r>
      <w:r>
        <w:rPr>
          <w:rFonts w:hint="default" w:ascii="Times New Roman" w:hAnsi="Times New Roman" w:eastAsia="仿宋" w:cs="Times New Roman"/>
          <w:sz w:val="32"/>
          <w:szCs w:val="32"/>
          <w:lang w:val="en-US" w:eastAsia="zh-CN"/>
        </w:rPr>
        <w:t>主要</w:t>
      </w:r>
      <w:r>
        <w:rPr>
          <w:rFonts w:hint="default" w:ascii="Times New Roman" w:hAnsi="Times New Roman" w:eastAsia="仿宋" w:cs="Times New Roman"/>
          <w:sz w:val="32"/>
          <w:szCs w:val="32"/>
        </w:rPr>
        <w:t>用于再生资源回收利用体系建设、工艺技术装备升级、能耗和碳排放监测体系建设及绿色低碳技术推广应用等方面。</w:t>
      </w:r>
    </w:p>
    <w:p w14:paraId="27E207E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如违反以上承诺，自愿终止享受有关政策，并依法依规接受约束和惩戒，承担由此带来的所有法律责任。</w:t>
      </w:r>
    </w:p>
    <w:p w14:paraId="7C6034D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14:paraId="5C4072F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申报单位（公章）</w:t>
      </w:r>
    </w:p>
    <w:p w14:paraId="3D1E5DE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法定代表人（签字）：</w:t>
      </w:r>
      <w:r>
        <w:rPr>
          <w:rFonts w:hint="default" w:ascii="Times New Roman" w:hAnsi="Times New Roman" w:eastAsia="仿宋" w:cs="Times New Roman"/>
          <w:sz w:val="32"/>
          <w:szCs w:val="32"/>
          <w:lang w:val="en-US" w:eastAsia="zh-CN"/>
        </w:rPr>
        <w:t xml:space="preserve"> </w:t>
      </w:r>
    </w:p>
    <w:p w14:paraId="53BE019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月</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日</w:t>
      </w:r>
    </w:p>
    <w:p w14:paraId="4DF56A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8F1885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14:paraId="4CE6C46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E99A8B5">
      <w:pPr>
        <w:pStyle w:val="4"/>
        <w:keepNext w:val="0"/>
        <w:keepLines w:val="0"/>
        <w:widowControl/>
        <w:suppressLineNumbers w:val="0"/>
        <w:shd w:val="clear"/>
        <w:spacing w:before="480" w:beforeAutospacing="0" w:after="240" w:afterAutospacing="0"/>
        <w:ind w:left="0" w:right="0" w:firstLine="0"/>
        <w:jc w:val="center"/>
        <w:rPr>
          <w:rFonts w:hint="default" w:ascii="Times New Roman" w:hAnsi="Times New Roman" w:eastAsia="仿宋" w:cs="Times New Roman"/>
          <w:b/>
          <w:bCs/>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eastAsia="zh-CN"/>
        </w:rPr>
        <w:t>企业基本</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信息表</w:t>
      </w:r>
    </w:p>
    <w:p w14:paraId="33241EDF">
      <w:pPr>
        <w:keepNext w:val="0"/>
        <w:keepLines w:val="0"/>
        <w:widowControl/>
        <w:suppressLineNumbers w:val="0"/>
        <w:shd w:val="clear"/>
        <w:jc w:val="both"/>
        <w:rPr>
          <w:rFonts w:hint="default" w:ascii="Times New Roman" w:hAnsi="Times New Roman" w:eastAsia="宋体" w:cs="Times New Roman"/>
          <w:b w:val="0"/>
          <w:bCs w:val="0"/>
          <w:kern w:val="0"/>
          <w:sz w:val="28"/>
          <w:szCs w:val="28"/>
          <w:lang w:val="en-US" w:eastAsia="zh-CN" w:bidi="ar"/>
        </w:rPr>
      </w:pPr>
      <w:r>
        <w:rPr>
          <w:rFonts w:hint="default" w:ascii="Times New Roman" w:hAnsi="Times New Roman" w:eastAsia="宋体" w:cs="Times New Roman"/>
          <w:b w:val="0"/>
          <w:bCs w:val="0"/>
          <w:kern w:val="0"/>
          <w:sz w:val="28"/>
          <w:szCs w:val="28"/>
          <w:lang w:val="en-US" w:eastAsia="zh-CN" w:bidi="ar"/>
        </w:rPr>
        <w:t>填表人：           联系电话：              联系邮箱：</w:t>
      </w:r>
    </w:p>
    <w:tbl>
      <w:tblPr>
        <w:tblStyle w:val="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014"/>
        <w:gridCol w:w="2877"/>
        <w:gridCol w:w="1708"/>
        <w:gridCol w:w="2491"/>
      </w:tblGrid>
      <w:tr w14:paraId="7B87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tblHeader/>
          <w:jc w:val="center"/>
        </w:trPr>
        <w:tc>
          <w:tcPr>
            <w:tcW w:w="2014" w:type="dxa"/>
            <w:shd w:val="clear" w:color="auto" w:fill="auto"/>
            <w:tcMar>
              <w:top w:w="150" w:type="dxa"/>
              <w:left w:w="0" w:type="dxa"/>
              <w:bottom w:w="150" w:type="dxa"/>
              <w:right w:w="240" w:type="dxa"/>
            </w:tcMar>
            <w:vAlign w:val="center"/>
          </w:tcPr>
          <w:p w14:paraId="35456D1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bCs/>
                <w:spacing w:val="0"/>
                <w:sz w:val="28"/>
                <w:szCs w:val="28"/>
                <w:shd w:val="clear" w:color="auto" w:fill="auto"/>
                <w:vertAlign w:val="baseline"/>
                <w:lang w:val="en-US" w:eastAsia="zh-CN"/>
              </w:rPr>
            </w:pPr>
            <w:r>
              <w:rPr>
                <w:rFonts w:hint="default" w:ascii="Times New Roman" w:hAnsi="Times New Roman" w:cs="Times New Roman" w:eastAsiaTheme="minorEastAsia"/>
                <w:b/>
                <w:bCs/>
                <w:spacing w:val="0"/>
                <w:sz w:val="28"/>
                <w:szCs w:val="28"/>
                <w:shd w:val="clear" w:color="auto" w:fill="auto"/>
                <w:vertAlign w:val="baseline"/>
                <w:lang w:val="en-US" w:eastAsia="zh-CN"/>
              </w:rPr>
              <w:t>项目</w:t>
            </w:r>
          </w:p>
        </w:tc>
        <w:tc>
          <w:tcPr>
            <w:tcW w:w="2877" w:type="dxa"/>
            <w:shd w:val="clear" w:color="auto" w:fill="auto"/>
            <w:tcMar>
              <w:top w:w="150" w:type="dxa"/>
              <w:left w:w="240" w:type="dxa"/>
              <w:bottom w:w="150" w:type="dxa"/>
              <w:right w:w="240" w:type="dxa"/>
            </w:tcMar>
            <w:vAlign w:val="center"/>
          </w:tcPr>
          <w:p w14:paraId="56E4AFB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bCs/>
                <w:spacing w:val="0"/>
                <w:sz w:val="28"/>
                <w:szCs w:val="28"/>
                <w:shd w:val="clear" w:color="auto" w:fill="auto"/>
                <w:vertAlign w:val="baseline"/>
                <w:lang w:val="en-US" w:eastAsia="zh-CN"/>
              </w:rPr>
            </w:pPr>
            <w:r>
              <w:rPr>
                <w:rFonts w:hint="default" w:ascii="Times New Roman" w:hAnsi="Times New Roman" w:cs="Times New Roman" w:eastAsiaTheme="minorEastAsia"/>
                <w:b/>
                <w:bCs/>
                <w:spacing w:val="0"/>
                <w:sz w:val="28"/>
                <w:szCs w:val="28"/>
                <w:shd w:val="clear" w:color="auto" w:fill="auto"/>
                <w:vertAlign w:val="baseline"/>
                <w:lang w:val="en-US" w:eastAsia="zh-CN"/>
              </w:rPr>
              <w:t>内容</w:t>
            </w:r>
          </w:p>
        </w:tc>
        <w:tc>
          <w:tcPr>
            <w:tcW w:w="1708" w:type="dxa"/>
            <w:shd w:val="clear" w:color="auto" w:fill="auto"/>
            <w:tcMar>
              <w:top w:w="150" w:type="dxa"/>
              <w:left w:w="240" w:type="dxa"/>
              <w:bottom w:w="150" w:type="dxa"/>
              <w:right w:w="240" w:type="dxa"/>
            </w:tcMar>
            <w:vAlign w:val="center"/>
          </w:tcPr>
          <w:p w14:paraId="41899BA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bCs/>
                <w:spacing w:val="0"/>
                <w:sz w:val="28"/>
                <w:szCs w:val="28"/>
                <w:shd w:val="clear" w:color="auto" w:fill="auto"/>
                <w:vertAlign w:val="baseline"/>
                <w:lang w:val="en-US" w:eastAsia="zh-CN"/>
              </w:rPr>
            </w:pPr>
            <w:r>
              <w:rPr>
                <w:rFonts w:hint="default" w:ascii="Times New Roman" w:hAnsi="Times New Roman" w:cs="Times New Roman" w:eastAsiaTheme="minorEastAsia"/>
                <w:b/>
                <w:bCs/>
                <w:spacing w:val="0"/>
                <w:sz w:val="28"/>
                <w:szCs w:val="28"/>
                <w:shd w:val="clear" w:color="auto" w:fill="auto"/>
                <w:vertAlign w:val="baseline"/>
                <w:lang w:val="en-US" w:eastAsia="zh-CN"/>
              </w:rPr>
              <w:t>项目</w:t>
            </w:r>
          </w:p>
        </w:tc>
        <w:tc>
          <w:tcPr>
            <w:tcW w:w="2491" w:type="dxa"/>
            <w:shd w:val="clear" w:color="auto" w:fill="auto"/>
            <w:tcMar>
              <w:top w:w="150" w:type="dxa"/>
              <w:left w:w="240" w:type="dxa"/>
              <w:bottom w:w="150" w:type="dxa"/>
              <w:right w:w="240" w:type="dxa"/>
            </w:tcMar>
            <w:vAlign w:val="center"/>
          </w:tcPr>
          <w:p w14:paraId="6FE739C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bCs/>
                <w:spacing w:val="0"/>
                <w:sz w:val="28"/>
                <w:szCs w:val="28"/>
                <w:shd w:val="clear" w:color="auto" w:fill="auto"/>
                <w:vertAlign w:val="baseline"/>
                <w:lang w:val="en-US" w:eastAsia="zh-CN"/>
              </w:rPr>
            </w:pPr>
            <w:r>
              <w:rPr>
                <w:rFonts w:hint="default" w:ascii="Times New Roman" w:hAnsi="Times New Roman" w:cs="Times New Roman" w:eastAsiaTheme="minorEastAsia"/>
                <w:b/>
                <w:bCs/>
                <w:spacing w:val="0"/>
                <w:sz w:val="28"/>
                <w:szCs w:val="28"/>
                <w:shd w:val="clear" w:color="auto" w:fill="auto"/>
                <w:vertAlign w:val="baseline"/>
                <w:lang w:val="en-US" w:eastAsia="zh-CN"/>
              </w:rPr>
              <w:t>内容</w:t>
            </w:r>
          </w:p>
        </w:tc>
      </w:tr>
      <w:tr w14:paraId="2C7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23357F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企业名称</w:t>
            </w:r>
          </w:p>
        </w:tc>
        <w:tc>
          <w:tcPr>
            <w:tcW w:w="2877" w:type="dxa"/>
            <w:shd w:val="clear" w:color="auto" w:fill="auto"/>
            <w:tcMar>
              <w:top w:w="150" w:type="dxa"/>
              <w:left w:w="240" w:type="dxa"/>
              <w:bottom w:w="150" w:type="dxa"/>
              <w:right w:w="240" w:type="dxa"/>
            </w:tcMar>
            <w:vAlign w:val="center"/>
          </w:tcPr>
          <w:p w14:paraId="487E9F1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2A7475B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邮编</w:t>
            </w:r>
          </w:p>
        </w:tc>
        <w:tc>
          <w:tcPr>
            <w:tcW w:w="2491" w:type="dxa"/>
            <w:shd w:val="clear" w:color="auto" w:fill="auto"/>
            <w:tcMar>
              <w:top w:w="150" w:type="dxa"/>
              <w:left w:w="240" w:type="dxa"/>
              <w:bottom w:w="150" w:type="dxa"/>
              <w:right w:w="0" w:type="dxa"/>
            </w:tcMar>
            <w:vAlign w:val="center"/>
          </w:tcPr>
          <w:p w14:paraId="23FB488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7160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1105399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统一社会信用代码</w:t>
            </w:r>
          </w:p>
        </w:tc>
        <w:tc>
          <w:tcPr>
            <w:tcW w:w="2877" w:type="dxa"/>
            <w:shd w:val="clear" w:color="auto" w:fill="auto"/>
            <w:tcMar>
              <w:top w:w="150" w:type="dxa"/>
              <w:left w:w="240" w:type="dxa"/>
              <w:bottom w:w="150" w:type="dxa"/>
              <w:right w:w="240" w:type="dxa"/>
            </w:tcMar>
            <w:vAlign w:val="center"/>
          </w:tcPr>
          <w:p w14:paraId="332811E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3FADBC2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所属行业</w:t>
            </w:r>
          </w:p>
        </w:tc>
        <w:tc>
          <w:tcPr>
            <w:tcW w:w="2491" w:type="dxa"/>
            <w:shd w:val="clear" w:color="auto" w:fill="auto"/>
            <w:tcMar>
              <w:top w:w="150" w:type="dxa"/>
              <w:left w:w="240" w:type="dxa"/>
              <w:bottom w:w="150" w:type="dxa"/>
              <w:right w:w="0" w:type="dxa"/>
            </w:tcMar>
            <w:vAlign w:val="center"/>
          </w:tcPr>
          <w:p w14:paraId="3CA0291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09E7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0645DA4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详细地址</w:t>
            </w:r>
          </w:p>
        </w:tc>
        <w:tc>
          <w:tcPr>
            <w:tcW w:w="7076" w:type="dxa"/>
            <w:gridSpan w:val="3"/>
            <w:shd w:val="clear" w:color="auto" w:fill="auto"/>
            <w:tcMar>
              <w:top w:w="150" w:type="dxa"/>
              <w:left w:w="240" w:type="dxa"/>
              <w:bottom w:w="150" w:type="dxa"/>
              <w:right w:w="240" w:type="dxa"/>
            </w:tcMar>
            <w:vAlign w:val="center"/>
          </w:tcPr>
          <w:p w14:paraId="2483860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5530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31743D6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法定代表人</w:t>
            </w:r>
          </w:p>
        </w:tc>
        <w:tc>
          <w:tcPr>
            <w:tcW w:w="2877" w:type="dxa"/>
            <w:shd w:val="clear" w:color="auto" w:fill="auto"/>
            <w:tcMar>
              <w:top w:w="150" w:type="dxa"/>
              <w:left w:w="240" w:type="dxa"/>
              <w:bottom w:w="150" w:type="dxa"/>
              <w:right w:w="240" w:type="dxa"/>
            </w:tcMar>
            <w:vAlign w:val="center"/>
          </w:tcPr>
          <w:p w14:paraId="0868388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5083AB3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手机</w:t>
            </w:r>
          </w:p>
        </w:tc>
        <w:tc>
          <w:tcPr>
            <w:tcW w:w="2491" w:type="dxa"/>
            <w:shd w:val="clear" w:color="auto" w:fill="auto"/>
            <w:tcMar>
              <w:top w:w="150" w:type="dxa"/>
              <w:left w:w="240" w:type="dxa"/>
              <w:bottom w:w="150" w:type="dxa"/>
              <w:right w:w="0" w:type="dxa"/>
            </w:tcMar>
            <w:vAlign w:val="center"/>
          </w:tcPr>
          <w:p w14:paraId="0F30AC9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0844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4E8F9ED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传真</w:t>
            </w:r>
          </w:p>
        </w:tc>
        <w:tc>
          <w:tcPr>
            <w:tcW w:w="2877" w:type="dxa"/>
            <w:shd w:val="clear" w:color="auto" w:fill="auto"/>
            <w:tcMar>
              <w:top w:w="150" w:type="dxa"/>
              <w:left w:w="240" w:type="dxa"/>
              <w:bottom w:w="150" w:type="dxa"/>
              <w:right w:w="240" w:type="dxa"/>
            </w:tcMar>
            <w:vAlign w:val="center"/>
          </w:tcPr>
          <w:p w14:paraId="750B930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764907E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企业邮箱</w:t>
            </w:r>
          </w:p>
        </w:tc>
        <w:tc>
          <w:tcPr>
            <w:tcW w:w="2491" w:type="dxa"/>
            <w:shd w:val="clear" w:color="auto" w:fill="auto"/>
            <w:tcMar>
              <w:top w:w="150" w:type="dxa"/>
              <w:left w:w="240" w:type="dxa"/>
              <w:bottom w:w="150" w:type="dxa"/>
              <w:right w:w="0" w:type="dxa"/>
            </w:tcMar>
            <w:vAlign w:val="center"/>
          </w:tcPr>
          <w:p w14:paraId="6F11011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4F6A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70804A0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员工人数（名）</w:t>
            </w:r>
          </w:p>
        </w:tc>
        <w:tc>
          <w:tcPr>
            <w:tcW w:w="2877" w:type="dxa"/>
            <w:shd w:val="clear" w:color="auto" w:fill="auto"/>
            <w:tcMar>
              <w:top w:w="150" w:type="dxa"/>
              <w:left w:w="240" w:type="dxa"/>
              <w:bottom w:w="150" w:type="dxa"/>
              <w:right w:w="240" w:type="dxa"/>
            </w:tcMar>
            <w:vAlign w:val="center"/>
          </w:tcPr>
          <w:p w14:paraId="710B890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50F3259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技术人员数量（名）</w:t>
            </w:r>
          </w:p>
        </w:tc>
        <w:tc>
          <w:tcPr>
            <w:tcW w:w="2491" w:type="dxa"/>
            <w:shd w:val="clear" w:color="auto" w:fill="auto"/>
            <w:tcMar>
              <w:top w:w="150" w:type="dxa"/>
              <w:left w:w="240" w:type="dxa"/>
              <w:bottom w:w="150" w:type="dxa"/>
              <w:right w:w="0" w:type="dxa"/>
            </w:tcMar>
            <w:vAlign w:val="center"/>
          </w:tcPr>
          <w:p w14:paraId="5CE9C6A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1F58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4A35A13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企业从事业务范围</w:t>
            </w:r>
          </w:p>
        </w:tc>
        <w:tc>
          <w:tcPr>
            <w:tcW w:w="7076" w:type="dxa"/>
            <w:gridSpan w:val="3"/>
            <w:shd w:val="clear" w:color="auto" w:fill="auto"/>
            <w:tcMar>
              <w:top w:w="150" w:type="dxa"/>
              <w:left w:w="240" w:type="dxa"/>
              <w:bottom w:w="150" w:type="dxa"/>
              <w:right w:w="240" w:type="dxa"/>
            </w:tcMar>
            <w:vAlign w:val="center"/>
          </w:tcPr>
          <w:p w14:paraId="55E73A3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eastAsia" w:ascii="宋体" w:hAnsi="宋体" w:eastAsia="宋体" w:cs="宋体"/>
                <w:spacing w:val="0"/>
                <w:sz w:val="28"/>
                <w:szCs w:val="28"/>
                <w:shd w:val="clear" w:color="auto" w:fill="auto"/>
                <w:vertAlign w:val="baseline"/>
                <w:lang w:val="en-US" w:eastAsia="zh-CN"/>
              </w:rPr>
              <w:t>□再利用 □破碎分选 □材料修复 □再生利用</w:t>
            </w:r>
          </w:p>
        </w:tc>
      </w:tr>
      <w:tr w14:paraId="38AB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11B3B98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注册资金</w:t>
            </w:r>
            <w:r>
              <w:rPr>
                <w:rFonts w:hint="default" w:ascii="Times New Roman" w:hAnsi="Times New Roman" w:cs="Times New Roman" w:eastAsiaTheme="minorEastAsia"/>
                <w:spacing w:val="0"/>
                <w:sz w:val="28"/>
                <w:szCs w:val="28"/>
                <w:shd w:val="clear" w:color="auto" w:fill="auto"/>
                <w:vertAlign w:val="baseline"/>
                <w:lang w:val="en-US" w:eastAsia="zh-CN"/>
              </w:rPr>
              <w:br w:type="textWrapping"/>
            </w:r>
            <w:r>
              <w:rPr>
                <w:rFonts w:hint="default" w:ascii="Times New Roman" w:hAnsi="Times New Roman" w:cs="Times New Roman" w:eastAsiaTheme="minorEastAsia"/>
                <w:spacing w:val="0"/>
                <w:sz w:val="28"/>
                <w:szCs w:val="28"/>
                <w:shd w:val="clear" w:color="auto" w:fill="auto"/>
                <w:vertAlign w:val="baseline"/>
                <w:lang w:val="en-US" w:eastAsia="zh-CN"/>
              </w:rPr>
              <w:t>（万元）</w:t>
            </w:r>
          </w:p>
        </w:tc>
        <w:tc>
          <w:tcPr>
            <w:tcW w:w="2877" w:type="dxa"/>
            <w:shd w:val="clear" w:color="auto" w:fill="auto"/>
            <w:tcMar>
              <w:top w:w="150" w:type="dxa"/>
              <w:left w:w="240" w:type="dxa"/>
              <w:bottom w:w="150" w:type="dxa"/>
              <w:right w:w="240" w:type="dxa"/>
            </w:tcMar>
            <w:vAlign w:val="center"/>
          </w:tcPr>
          <w:p w14:paraId="400011C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74340B9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实缴资金</w:t>
            </w:r>
          </w:p>
          <w:p w14:paraId="40CA72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（万元）</w:t>
            </w:r>
          </w:p>
        </w:tc>
        <w:tc>
          <w:tcPr>
            <w:tcW w:w="2491" w:type="dxa"/>
            <w:shd w:val="clear" w:color="auto" w:fill="auto"/>
            <w:tcMar>
              <w:top w:w="150" w:type="dxa"/>
              <w:left w:w="240" w:type="dxa"/>
              <w:bottom w:w="150" w:type="dxa"/>
              <w:right w:w="0" w:type="dxa"/>
            </w:tcMar>
            <w:vAlign w:val="center"/>
          </w:tcPr>
          <w:p w14:paraId="5D6BE2B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2A1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315DB4C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批复产能</w:t>
            </w:r>
          </w:p>
        </w:tc>
        <w:tc>
          <w:tcPr>
            <w:tcW w:w="2877" w:type="dxa"/>
            <w:shd w:val="clear" w:color="auto" w:fill="auto"/>
            <w:tcMar>
              <w:top w:w="150" w:type="dxa"/>
              <w:left w:w="240" w:type="dxa"/>
              <w:bottom w:w="150" w:type="dxa"/>
              <w:right w:w="240" w:type="dxa"/>
            </w:tcMar>
            <w:vAlign w:val="center"/>
          </w:tcPr>
          <w:p w14:paraId="0B3581E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47F61F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实际产能</w:t>
            </w:r>
          </w:p>
        </w:tc>
        <w:tc>
          <w:tcPr>
            <w:tcW w:w="2491" w:type="dxa"/>
            <w:shd w:val="clear" w:color="auto" w:fill="auto"/>
            <w:tcMar>
              <w:top w:w="150" w:type="dxa"/>
              <w:left w:w="240" w:type="dxa"/>
              <w:bottom w:w="150" w:type="dxa"/>
              <w:right w:w="0" w:type="dxa"/>
            </w:tcMar>
            <w:vAlign w:val="center"/>
          </w:tcPr>
          <w:p w14:paraId="374FCB2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0B53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40FD98E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可处理的废旧动力电池类型</w:t>
            </w:r>
          </w:p>
        </w:tc>
        <w:tc>
          <w:tcPr>
            <w:tcW w:w="7076" w:type="dxa"/>
            <w:gridSpan w:val="3"/>
            <w:shd w:val="clear" w:color="auto" w:fill="auto"/>
            <w:tcMar>
              <w:top w:w="150" w:type="dxa"/>
              <w:left w:w="240" w:type="dxa"/>
              <w:bottom w:w="150" w:type="dxa"/>
              <w:right w:w="240" w:type="dxa"/>
            </w:tcMar>
            <w:vAlign w:val="center"/>
          </w:tcPr>
          <w:p w14:paraId="3EA4F99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eastAsia" w:ascii="宋体" w:hAnsi="宋体" w:eastAsia="宋体" w:cs="宋体"/>
                <w:spacing w:val="0"/>
                <w:sz w:val="28"/>
                <w:szCs w:val="28"/>
                <w:shd w:val="clear" w:color="auto" w:fill="auto"/>
                <w:vertAlign w:val="baseline"/>
                <w:lang w:val="en-US" w:eastAsia="zh-CN"/>
              </w:rPr>
              <w:t>□方形电池 □软包电池 □圆柱电池 □磷酸铁锂电池 □三元电池 □锰酸锂电池 □其他电池</w:t>
            </w:r>
          </w:p>
        </w:tc>
      </w:tr>
      <w:tr w14:paraId="118E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198A4E8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第一个核算周期内综合利用量（万吨）</w:t>
            </w:r>
          </w:p>
        </w:tc>
        <w:tc>
          <w:tcPr>
            <w:tcW w:w="2877" w:type="dxa"/>
            <w:shd w:val="clear" w:color="auto" w:fill="auto"/>
            <w:tcMar>
              <w:top w:w="150" w:type="dxa"/>
              <w:left w:w="240" w:type="dxa"/>
              <w:bottom w:w="150" w:type="dxa"/>
              <w:right w:w="240" w:type="dxa"/>
            </w:tcMar>
            <w:vAlign w:val="center"/>
          </w:tcPr>
          <w:p w14:paraId="5767A42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3B6DBC8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第一个核算周期内产能利用率</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10BC9F7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52A2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27F5EE3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第一个核算周期内企业营业收入（万元）</w:t>
            </w:r>
          </w:p>
        </w:tc>
        <w:tc>
          <w:tcPr>
            <w:tcW w:w="2877" w:type="dxa"/>
            <w:shd w:val="clear" w:color="auto" w:fill="auto"/>
            <w:tcMar>
              <w:top w:w="150" w:type="dxa"/>
              <w:left w:w="240" w:type="dxa"/>
              <w:bottom w:w="150" w:type="dxa"/>
              <w:right w:w="240" w:type="dxa"/>
            </w:tcMar>
            <w:vAlign w:val="center"/>
          </w:tcPr>
          <w:p w14:paraId="1973519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486C600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第一个核算周期内利润总额（万元）</w:t>
            </w:r>
          </w:p>
        </w:tc>
        <w:tc>
          <w:tcPr>
            <w:tcW w:w="2491" w:type="dxa"/>
            <w:shd w:val="clear" w:color="auto" w:fill="auto"/>
            <w:tcMar>
              <w:top w:w="150" w:type="dxa"/>
              <w:left w:w="240" w:type="dxa"/>
              <w:bottom w:w="150" w:type="dxa"/>
              <w:right w:w="0" w:type="dxa"/>
            </w:tcMar>
            <w:vAlign w:val="center"/>
          </w:tcPr>
          <w:p w14:paraId="2E43670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2E8D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6767C01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厂区面积（㎡）</w:t>
            </w:r>
          </w:p>
        </w:tc>
        <w:tc>
          <w:tcPr>
            <w:tcW w:w="2877" w:type="dxa"/>
            <w:shd w:val="clear" w:color="auto" w:fill="auto"/>
            <w:tcMar>
              <w:top w:w="150" w:type="dxa"/>
              <w:left w:w="240" w:type="dxa"/>
              <w:bottom w:w="150" w:type="dxa"/>
              <w:right w:w="240" w:type="dxa"/>
            </w:tcMar>
            <w:vAlign w:val="center"/>
          </w:tcPr>
          <w:p w14:paraId="5469867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c>
          <w:tcPr>
            <w:tcW w:w="1708" w:type="dxa"/>
            <w:shd w:val="clear" w:color="auto" w:fill="auto"/>
            <w:tcMar>
              <w:top w:w="150" w:type="dxa"/>
              <w:left w:w="240" w:type="dxa"/>
              <w:bottom w:w="150" w:type="dxa"/>
              <w:right w:w="240" w:type="dxa"/>
            </w:tcMar>
            <w:vAlign w:val="center"/>
          </w:tcPr>
          <w:p w14:paraId="6922E64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作业场地面积（㎡）</w:t>
            </w:r>
          </w:p>
        </w:tc>
        <w:tc>
          <w:tcPr>
            <w:tcW w:w="2491" w:type="dxa"/>
            <w:shd w:val="clear" w:color="auto" w:fill="auto"/>
            <w:tcMar>
              <w:top w:w="150" w:type="dxa"/>
              <w:left w:w="240" w:type="dxa"/>
              <w:bottom w:w="150" w:type="dxa"/>
              <w:right w:w="0" w:type="dxa"/>
            </w:tcMar>
            <w:vAlign w:val="center"/>
          </w:tcPr>
          <w:p w14:paraId="0D6F4AB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r w14:paraId="1E3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2014" w:type="dxa"/>
            <w:shd w:val="clear" w:color="auto" w:fill="auto"/>
            <w:tcMar>
              <w:top w:w="150" w:type="dxa"/>
              <w:left w:w="0" w:type="dxa"/>
              <w:bottom w:w="150" w:type="dxa"/>
              <w:right w:w="240" w:type="dxa"/>
            </w:tcMar>
            <w:vAlign w:val="center"/>
          </w:tcPr>
          <w:p w14:paraId="60D8940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省级以上荣誉资质</w:t>
            </w:r>
          </w:p>
        </w:tc>
        <w:tc>
          <w:tcPr>
            <w:tcW w:w="7076" w:type="dxa"/>
            <w:gridSpan w:val="3"/>
            <w:shd w:val="clear" w:color="auto" w:fill="auto"/>
            <w:tcMar>
              <w:top w:w="150" w:type="dxa"/>
              <w:left w:w="240" w:type="dxa"/>
              <w:bottom w:w="150" w:type="dxa"/>
              <w:right w:w="240" w:type="dxa"/>
            </w:tcMar>
            <w:vAlign w:val="center"/>
          </w:tcPr>
          <w:p w14:paraId="24ADF76C">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eastAsia" w:ascii="宋体" w:hAnsi="宋体" w:eastAsia="宋体" w:cs="宋体"/>
                <w:spacing w:val="0"/>
                <w:sz w:val="28"/>
                <w:szCs w:val="28"/>
                <w:shd w:val="clear" w:color="auto" w:fill="auto"/>
                <w:vertAlign w:val="baseline"/>
                <w:lang w:val="en-US" w:eastAsia="zh-CN"/>
              </w:rPr>
              <w:t>□是，具有________资质/荣誉 □否</w:t>
            </w:r>
          </w:p>
        </w:tc>
      </w:tr>
      <w:tr w14:paraId="2832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203" w:hRule="atLeast"/>
          <w:jc w:val="center"/>
        </w:trPr>
        <w:tc>
          <w:tcPr>
            <w:tcW w:w="2014" w:type="dxa"/>
            <w:shd w:val="clear" w:color="auto" w:fill="auto"/>
            <w:tcMar>
              <w:top w:w="150" w:type="dxa"/>
              <w:left w:w="0" w:type="dxa"/>
              <w:bottom w:w="150" w:type="dxa"/>
              <w:right w:w="240" w:type="dxa"/>
            </w:tcMar>
            <w:vAlign w:val="center"/>
          </w:tcPr>
          <w:p w14:paraId="0CDD007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r>
              <w:rPr>
                <w:rFonts w:hint="default" w:ascii="Times New Roman" w:hAnsi="Times New Roman" w:cs="Times New Roman" w:eastAsiaTheme="minorEastAsia"/>
                <w:spacing w:val="0"/>
                <w:sz w:val="28"/>
                <w:szCs w:val="28"/>
                <w:shd w:val="clear" w:color="auto" w:fill="auto"/>
                <w:vertAlign w:val="baseline"/>
                <w:lang w:val="en-US" w:eastAsia="zh-CN"/>
              </w:rPr>
              <w:t>企业简介</w:t>
            </w:r>
            <w:r>
              <w:rPr>
                <w:rFonts w:hint="default" w:ascii="Times New Roman" w:hAnsi="Times New Roman" w:cs="Times New Roman" w:eastAsiaTheme="minorEastAsia"/>
                <w:spacing w:val="0"/>
                <w:sz w:val="28"/>
                <w:szCs w:val="28"/>
                <w:shd w:val="clear" w:color="auto" w:fill="auto"/>
                <w:vertAlign w:val="baseline"/>
                <w:lang w:val="en-US" w:eastAsia="zh-CN"/>
              </w:rPr>
              <w:br w:type="textWrapping"/>
            </w:r>
            <w:r>
              <w:rPr>
                <w:rFonts w:hint="default" w:ascii="Times New Roman" w:hAnsi="Times New Roman" w:cs="Times New Roman" w:eastAsiaTheme="minorEastAsia"/>
                <w:spacing w:val="0"/>
                <w:sz w:val="28"/>
                <w:szCs w:val="28"/>
                <w:shd w:val="clear" w:color="auto" w:fill="auto"/>
                <w:vertAlign w:val="baseline"/>
                <w:lang w:val="en-US" w:eastAsia="zh-CN"/>
              </w:rPr>
              <w:t>（200字以内）</w:t>
            </w:r>
          </w:p>
        </w:tc>
        <w:tc>
          <w:tcPr>
            <w:tcW w:w="7076" w:type="dxa"/>
            <w:gridSpan w:val="3"/>
            <w:shd w:val="clear" w:color="auto" w:fill="auto"/>
            <w:tcMar>
              <w:top w:w="150" w:type="dxa"/>
              <w:left w:w="240" w:type="dxa"/>
              <w:bottom w:w="150" w:type="dxa"/>
              <w:right w:w="240" w:type="dxa"/>
            </w:tcMar>
            <w:vAlign w:val="center"/>
          </w:tcPr>
          <w:p w14:paraId="15E83AE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8"/>
                <w:szCs w:val="28"/>
                <w:shd w:val="clear" w:color="auto" w:fill="auto"/>
                <w:vertAlign w:val="baseline"/>
                <w:lang w:val="en-US" w:eastAsia="zh-CN"/>
              </w:rPr>
            </w:pPr>
          </w:p>
        </w:tc>
      </w:tr>
    </w:tbl>
    <w:p w14:paraId="4B0D20F8">
      <w:pPr>
        <w:shd w:val="clear"/>
        <w:rPr>
          <w:rFonts w:hint="default" w:ascii="Times New Roman" w:hAnsi="Times New Roman" w:eastAsia="黑体" w:cs="Times New Roman"/>
          <w:b w:val="0"/>
          <w:bCs w:val="0"/>
          <w:i w:val="0"/>
          <w:iCs w:val="0"/>
          <w:caps w:val="0"/>
          <w:color w:val="0F1115"/>
          <w:spacing w:val="0"/>
          <w:sz w:val="32"/>
          <w:szCs w:val="32"/>
          <w:shd w:val="clear" w:fill="FFFFFF"/>
        </w:rPr>
      </w:pPr>
      <w:r>
        <w:rPr>
          <w:rFonts w:hint="default" w:ascii="Times New Roman" w:hAnsi="Times New Roman" w:eastAsia="黑体" w:cs="Times New Roman"/>
          <w:b w:val="0"/>
          <w:bCs w:val="0"/>
          <w:i w:val="0"/>
          <w:iCs w:val="0"/>
          <w:caps w:val="0"/>
          <w:color w:val="0F1115"/>
          <w:spacing w:val="0"/>
          <w:sz w:val="32"/>
          <w:szCs w:val="32"/>
          <w:shd w:val="clear" w:fill="FFFFFF"/>
        </w:rPr>
        <w:br w:type="page"/>
      </w:r>
    </w:p>
    <w:p w14:paraId="03631802">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黑体" w:hAnsi="黑体" w:eastAsia="黑体" w:cs="黑体"/>
          <w:b w:val="0"/>
          <w:bCs w:val="0"/>
          <w:i w:val="0"/>
          <w:iCs w:val="0"/>
          <w:caps w:val="0"/>
          <w:color w:val="0F1115"/>
          <w:spacing w:val="0"/>
          <w:sz w:val="36"/>
          <w:szCs w:val="36"/>
          <w:shd w:val="clear" w:fill="FFFFFF"/>
        </w:rPr>
      </w:pPr>
      <w:r>
        <w:rPr>
          <w:rFonts w:hint="eastAsia" w:ascii="黑体" w:hAnsi="黑体" w:eastAsia="黑体" w:cs="黑体"/>
          <w:b w:val="0"/>
          <w:bCs w:val="0"/>
          <w:i w:val="0"/>
          <w:iCs w:val="0"/>
          <w:caps w:val="0"/>
          <w:color w:val="0F1115"/>
          <w:spacing w:val="0"/>
          <w:sz w:val="36"/>
          <w:szCs w:val="36"/>
          <w:shd w:val="clear" w:fill="FFFFFF"/>
          <w:lang w:eastAsia="zh-CN"/>
        </w:rPr>
        <w:t>2026</w:t>
      </w:r>
      <w:r>
        <w:rPr>
          <w:rFonts w:hint="eastAsia" w:ascii="黑体" w:hAnsi="黑体" w:eastAsia="黑体" w:cs="黑体"/>
          <w:b w:val="0"/>
          <w:bCs w:val="0"/>
          <w:i w:val="0"/>
          <w:iCs w:val="0"/>
          <w:caps w:val="0"/>
          <w:color w:val="0F1115"/>
          <w:spacing w:val="0"/>
          <w:sz w:val="36"/>
          <w:szCs w:val="36"/>
          <w:shd w:val="clear" w:fill="FFFFFF"/>
        </w:rPr>
        <w:t>年度山东省工业再生资源（废旧动力电池领域）</w:t>
      </w:r>
    </w:p>
    <w:p w14:paraId="37083B92">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黑体" w:hAnsi="黑体" w:eastAsia="黑体" w:cs="黑体"/>
          <w:b w:val="0"/>
          <w:bCs w:val="0"/>
          <w:i w:val="0"/>
          <w:iCs w:val="0"/>
          <w:caps w:val="0"/>
          <w:color w:val="0F1115"/>
          <w:spacing w:val="0"/>
          <w:sz w:val="36"/>
          <w:szCs w:val="36"/>
          <w:shd w:val="clear" w:fill="FFFFFF"/>
          <w:lang w:val="en-US" w:eastAsia="zh-CN"/>
        </w:rPr>
      </w:pPr>
      <w:r>
        <w:rPr>
          <w:rFonts w:hint="eastAsia" w:ascii="黑体" w:hAnsi="黑体" w:eastAsia="黑体" w:cs="黑体"/>
          <w:b w:val="0"/>
          <w:bCs w:val="0"/>
          <w:i w:val="0"/>
          <w:iCs w:val="0"/>
          <w:caps w:val="0"/>
          <w:color w:val="0F1115"/>
          <w:spacing w:val="0"/>
          <w:sz w:val="36"/>
          <w:szCs w:val="36"/>
          <w:shd w:val="clear" w:fill="FFFFFF"/>
        </w:rPr>
        <w:t>循环利用节能降碳奖补资金申报书</w:t>
      </w:r>
      <w:r>
        <w:rPr>
          <w:rFonts w:hint="eastAsia" w:ascii="黑体" w:hAnsi="黑体" w:eastAsia="黑体" w:cs="黑体"/>
          <w:b w:val="0"/>
          <w:bCs w:val="0"/>
          <w:i w:val="0"/>
          <w:iCs w:val="0"/>
          <w:caps w:val="0"/>
          <w:color w:val="0F1115"/>
          <w:spacing w:val="0"/>
          <w:sz w:val="36"/>
          <w:szCs w:val="36"/>
          <w:shd w:val="clear" w:fill="FFFFFF"/>
          <w:lang w:val="en-US" w:eastAsia="zh-CN"/>
        </w:rPr>
        <w:t>大纲</w:t>
      </w:r>
    </w:p>
    <w:p w14:paraId="602FAFAE">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default" w:ascii="Times New Roman" w:hAnsi="Times New Roman" w:eastAsia="仿宋" w:cs="Times New Roman"/>
          <w:b/>
          <w:bCs/>
          <w:i w:val="0"/>
          <w:iCs w:val="0"/>
          <w:caps w:val="0"/>
          <w:color w:val="0F1115"/>
          <w:spacing w:val="0"/>
          <w:kern w:val="0"/>
          <w:sz w:val="32"/>
          <w:szCs w:val="32"/>
          <w:shd w:val="clear" w:fill="FFFFFF"/>
          <w:lang w:val="en-US" w:eastAsia="zh-CN" w:bidi="ar"/>
        </w:rPr>
      </w:pPr>
    </w:p>
    <w:p w14:paraId="4A7035B1">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（一）申报主体基本情况</w:t>
      </w:r>
    </w:p>
    <w:p w14:paraId="03022567">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介绍企业名称、企业类型、法定代表人等情况；符合财政涉企资金“绿色门槛”机制相关管理要求，无资金违规使用记录；第一个核算周期内无失信记录、无行政处罚记录；企业销售收入、利润等生产经营情况。</w:t>
      </w:r>
    </w:p>
    <w:p w14:paraId="5F916EDC">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（二）场地与设施标准化水平</w:t>
      </w:r>
    </w:p>
    <w:p w14:paraId="32AD8BC2">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描述企业厂区布局，说明是否符合相关规划，企业选址、土地手续是否符合相关规定；厂区和作业场地的储存、消防、智能监测、安全作业等设备设施配置情况，是否配备具备耐腐蚀、坚固、防火、绝缘特性的专用分类收集储存设施</w:t>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fldChar w:fldCharType="begin"/>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instrText xml:space="preserve"> HYPERLINK "https://sst.suzhou.gov.cn/ndaservplat/Apps/psp/index.php?s=/Home/PolicySearch/policydetail/id/112814/query_value1/orderway/orderway/hot/i/3" \t "https://chat.deepseek.com/a/chat/s/_blank" </w:instrText>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fldChar w:fldCharType="separate"/>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fldChar w:fldCharType="end"/>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；是否配备消防设施并满足相关规范要求；是否配备红外热成像监控预警、烟雾报警等智能监测设施；是否配备绝缘检测设备、放电柜和盐水池（箱）等安全作业设备。</w:t>
      </w:r>
    </w:p>
    <w:p w14:paraId="6EE21789">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（三）回收利用能力</w:t>
      </w:r>
    </w:p>
    <w:p w14:paraId="00F62681">
      <w:pPr>
        <w:pStyle w:val="5"/>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企业目前综合利用能力，描述第一个核算周期内实际产能包含但不限于年度</w:t>
      </w:r>
      <w:r>
        <w:rPr>
          <w:rFonts w:hint="eastAsia" w:ascii="仿宋_GB2312" w:hAnsi="仿宋_GB2312" w:eastAsia="仿宋_GB2312" w:cs="仿宋_GB2312"/>
          <w:b w:val="0"/>
          <w:bCs w:val="0"/>
          <w:i w:val="0"/>
          <w:iCs w:val="0"/>
          <w:caps w:val="0"/>
          <w:color w:val="0F1115"/>
          <w:spacing w:val="0"/>
          <w:kern w:val="2"/>
          <w:sz w:val="32"/>
          <w:szCs w:val="32"/>
          <w:highlight w:val="none"/>
          <w:shd w:val="clear" w:fill="FFFFFF"/>
          <w:lang w:val="en-US" w:eastAsia="zh-CN" w:bidi="ar-SA"/>
        </w:rPr>
        <w:t>回收及处理量统计表、</w:t>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采购合同、对应发票、物流单据、入库台账；目前节能降碳水平，单位产品能耗、资源回收率是否达到行业先进水平；</w:t>
      </w:r>
    </w:p>
    <w:p w14:paraId="6D8DDFC6">
      <w:pPr>
        <w:pStyle w:val="5"/>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再利用企业还应提供：废旧动力电池贮存专用仓库设施建设情况；对废旧动力电池进行拆分、检测、鉴定、重组等处理的技术手段和能力建设情况，以及采用的生产工艺和主要装备自动化、智能化、绿色化应用水平情况；再利用产品全生命周期管理情况；</w:t>
      </w:r>
    </w:p>
    <w:p w14:paraId="6D94B55A">
      <w:pPr>
        <w:pStyle w:val="5"/>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再生利用企业还应提供：废旧动力电池等相关原料贮存专用仓库设施建设情况；废旧动力电池再生利用技术手段和能力建设情况，以及采用的生产工艺和主要装备自动化、智能化、绿色化应用水平情况；主要有价金属回收率、材料回收率、工艺废水循环利用率等技术水平。</w:t>
      </w:r>
    </w:p>
    <w:p w14:paraId="1853E98F">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（四）规范运营管理</w:t>
      </w:r>
    </w:p>
    <w:p w14:paraId="5750F1C6">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企业溯源系统建设情况，溯源工作开展情况，上传数据完整、真实情况；说明原料来源合法合规性，原料供应方的加工过程符合安全和环保要求情况；信息化管理系统建设情况，数据上传山东省工业再生资源回收加工智慧监测平台情况；综合利用过程中产生的固体废弃物、危险废弃物的储存、回收和处理情况；废旧动力电池承运单位主体资格和技术能力核实情况。</w:t>
      </w:r>
    </w:p>
    <w:p w14:paraId="3AF77A0D">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（五）安全环保质量管理</w:t>
      </w:r>
    </w:p>
    <w:p w14:paraId="1E94F91B">
      <w:pPr>
        <w:pStyle w:val="5"/>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企业安全生产标准化和隐患排查治理体系建设情况；安全生产、职业健康、环保等各项标准、规定情况；安全设施和职业危害防护设施建设使用情况；专职质量、安全、环保管理人员配备情况；生产、环保、排污许可证等手续及履行情况；建立、实施并保持满足质量、环境、职业健康等管理体系情况，通过第三方认证情况；职业教育培训开展情况，用工制度是否符合《中华人民共和国劳动合同法》规定；产品是否符合相关标准要求，并具有相关检测报告；建立应急预案并定期开展演练情况；第一个核算周期内环保达标排放情况，近一年无安全、环保等事故。</w:t>
      </w:r>
    </w:p>
    <w:p w14:paraId="1927AF72">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（六）加分项</w:t>
      </w:r>
    </w:p>
    <w:p w14:paraId="120C718C">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default" w:ascii="Times New Roman" w:hAnsi="Times New Roman" w:eastAsia="仿宋" w:cs="Times New Roman"/>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企业建设回收及合作渠道情况；技术研发、知识产权、工艺创新情况；参与国家、行业、地方或团体标准制定情况；节能降碳、行业示范及社会效益情况。以上情况作为酌情加分项。</w:t>
      </w:r>
    </w:p>
    <w:p w14:paraId="700EE06E">
      <w:pPr>
        <w:pStyle w:val="5"/>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default" w:ascii="Times New Roman" w:hAnsi="Times New Roman" w:eastAsia="仿宋_GB2312" w:cs="Times New Roman"/>
          <w:i w:val="0"/>
          <w:iCs w:val="0"/>
          <w:caps w:val="0"/>
          <w:color w:val="0F1115"/>
          <w:spacing w:val="0"/>
          <w:sz w:val="32"/>
          <w:szCs w:val="32"/>
        </w:rPr>
      </w:pPr>
    </w:p>
    <w:p w14:paraId="5C4EB4B2">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r>
        <w:rPr>
          <w:rFonts w:hint="default" w:ascii="Times New Roman" w:hAnsi="Times New Roman" w:eastAsia="黑体" w:cs="Times New Roman"/>
          <w:b w:val="0"/>
          <w:bCs w:val="0"/>
          <w:i w:val="0"/>
          <w:iCs w:val="0"/>
          <w:caps w:val="0"/>
          <w:color w:val="0F1115"/>
          <w:spacing w:val="0"/>
          <w:sz w:val="32"/>
          <w:szCs w:val="32"/>
          <w:shd w:val="clear" w:fill="FFFFFF"/>
          <w:lang w:val="en-US" w:eastAsia="zh-CN"/>
        </w:rPr>
        <w:br w:type="page"/>
      </w:r>
    </w:p>
    <w:p w14:paraId="480ED1DD">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r>
        <w:rPr>
          <w:rFonts w:hint="default" w:ascii="Times New Roman" w:hAnsi="Times New Roman" w:eastAsia="黑体" w:cs="Times New Roman"/>
          <w:b w:val="0"/>
          <w:bCs w:val="0"/>
          <w:i w:val="0"/>
          <w:iCs w:val="0"/>
          <w:caps w:val="0"/>
          <w:color w:val="0F1115"/>
          <w:spacing w:val="0"/>
          <w:sz w:val="32"/>
          <w:szCs w:val="32"/>
          <w:shd w:val="clear" w:fill="FFFFFF"/>
          <w:lang w:val="en-US" w:eastAsia="zh-CN"/>
        </w:rPr>
        <w:t>表1</w:t>
      </w:r>
    </w:p>
    <w:p w14:paraId="14A29DF7">
      <w:pPr>
        <w:pStyle w:val="4"/>
        <w:keepNext w:val="0"/>
        <w:keepLines w:val="0"/>
        <w:widowControl/>
        <w:suppressLineNumbers w:val="0"/>
        <w:shd w:val="clear"/>
        <w:spacing w:before="480" w:beforeAutospacing="0" w:after="240" w:afterAutospacing="0"/>
        <w:ind w:left="0" w:right="0" w:firstLine="0"/>
        <w:jc w:val="center"/>
        <w:rPr>
          <w:rFonts w:hint="default" w:ascii="Times New Roman" w:hAnsi="Times New Roman" w:eastAsia="仿宋" w:cs="Times New Roman"/>
          <w:b/>
          <w:bCs/>
          <w:i w:val="0"/>
          <w:iCs w:val="0"/>
          <w:caps w:val="0"/>
          <w:color w:val="0F1115"/>
          <w:spacing w:val="0"/>
          <w:sz w:val="36"/>
          <w:szCs w:val="36"/>
          <w:shd w:val="clear" w:fill="FFFFFF"/>
          <w:lang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eastAsia="zh-CN"/>
        </w:rPr>
        <w:t>企业规范情况表</w:t>
      </w:r>
    </w:p>
    <w:p w14:paraId="142B2144">
      <w:pPr>
        <w:keepNext w:val="0"/>
        <w:keepLines w:val="0"/>
        <w:widowControl/>
        <w:suppressLineNumbers w:val="0"/>
        <w:shd w:val="clear"/>
        <w:snapToGrid w:val="0"/>
        <w:spacing w:line="240" w:lineRule="auto"/>
        <w:ind w:left="0" w:leftChars="0" w:right="0" w:rightChars="0" w:firstLine="0" w:firstLineChars="0"/>
        <w:jc w:val="left"/>
        <w:rPr>
          <w:rFonts w:hint="default" w:ascii="Times New Roman" w:hAnsi="Times New Roman" w:eastAsia="仿宋_GB2312" w:cs="Times New Roman"/>
          <w:color w:val="000008"/>
          <w:spacing w:val="0"/>
          <w:kern w:val="0"/>
          <w:sz w:val="28"/>
          <w:szCs w:val="28"/>
          <w:highlight w:val="none"/>
          <w:lang w:val="en-US" w:eastAsia="zh-CN" w:bidi="ar"/>
        </w:rPr>
      </w:pPr>
      <w:r>
        <w:rPr>
          <w:rFonts w:hint="default" w:ascii="Times New Roman" w:hAnsi="Times New Roman" w:eastAsia="仿宋_GB2312" w:cs="Times New Roman"/>
          <w:color w:val="000008"/>
          <w:spacing w:val="0"/>
          <w:kern w:val="0"/>
          <w:sz w:val="28"/>
          <w:szCs w:val="28"/>
          <w:highlight w:val="none"/>
          <w:lang w:val="en-US" w:eastAsia="zh-CN" w:bidi="ar"/>
        </w:rPr>
        <w:t>填表人：           联系电话：           联系邮箱：</w:t>
      </w:r>
    </w:p>
    <w:tbl>
      <w:tblPr>
        <w:tblStyle w:val="10"/>
        <w:tblW w:w="51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192"/>
        <w:gridCol w:w="1192"/>
        <w:gridCol w:w="3147"/>
        <w:gridCol w:w="3216"/>
      </w:tblGrid>
      <w:tr w14:paraId="6A81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blHeader/>
          <w:jc w:val="center"/>
        </w:trPr>
        <w:tc>
          <w:tcPr>
            <w:tcW w:w="316" w:type="pct"/>
            <w:vAlign w:val="center"/>
          </w:tcPr>
          <w:p w14:paraId="7C8CA66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bCs/>
                <w:spacing w:val="0"/>
                <w:sz w:val="24"/>
                <w:szCs w:val="24"/>
                <w:vertAlign w:val="baseline"/>
                <w:lang w:val="en-US" w:eastAsia="zh-CN"/>
              </w:rPr>
            </w:pPr>
            <w:r>
              <w:rPr>
                <w:rFonts w:hint="eastAsia" w:ascii="Times New Roman" w:hAnsi="Times New Roman" w:cs="Times New Roman" w:eastAsiaTheme="minorEastAsia"/>
                <w:b/>
                <w:bCs/>
                <w:spacing w:val="0"/>
                <w:sz w:val="24"/>
                <w:szCs w:val="24"/>
                <w:vertAlign w:val="baseline"/>
                <w:lang w:val="en-US" w:eastAsia="zh-CN"/>
              </w:rPr>
              <w:t>序号</w:t>
            </w:r>
          </w:p>
        </w:tc>
        <w:tc>
          <w:tcPr>
            <w:tcW w:w="638" w:type="pct"/>
            <w:vAlign w:val="center"/>
          </w:tcPr>
          <w:p w14:paraId="05CF36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bCs/>
                <w:spacing w:val="0"/>
                <w:sz w:val="24"/>
                <w:szCs w:val="24"/>
                <w:vertAlign w:val="baseline"/>
                <w:lang w:val="en-US" w:eastAsia="zh-CN"/>
              </w:rPr>
            </w:pPr>
            <w:r>
              <w:rPr>
                <w:rFonts w:hint="eastAsia" w:ascii="Times New Roman" w:hAnsi="Times New Roman" w:cs="Times New Roman" w:eastAsiaTheme="minorEastAsia"/>
                <w:b/>
                <w:bCs/>
                <w:spacing w:val="0"/>
                <w:sz w:val="24"/>
                <w:szCs w:val="24"/>
                <w:vertAlign w:val="baseline"/>
                <w:lang w:val="en-US" w:eastAsia="zh-CN"/>
              </w:rPr>
              <w:t>评价维度</w:t>
            </w:r>
          </w:p>
        </w:tc>
        <w:tc>
          <w:tcPr>
            <w:tcW w:w="638" w:type="pct"/>
            <w:vAlign w:val="center"/>
          </w:tcPr>
          <w:p w14:paraId="2B2ACA8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bCs/>
                <w:spacing w:val="0"/>
                <w:sz w:val="24"/>
                <w:szCs w:val="24"/>
                <w:vertAlign w:val="baseline"/>
                <w:lang w:val="en-US" w:eastAsia="zh-CN"/>
              </w:rPr>
            </w:pPr>
            <w:r>
              <w:rPr>
                <w:rFonts w:hint="eastAsia" w:ascii="Times New Roman" w:hAnsi="Times New Roman" w:cs="Times New Roman" w:eastAsiaTheme="minorEastAsia"/>
                <w:b/>
                <w:bCs/>
                <w:spacing w:val="0"/>
                <w:sz w:val="24"/>
                <w:szCs w:val="24"/>
                <w:vertAlign w:val="baseline"/>
                <w:lang w:val="en-US" w:eastAsia="zh-CN"/>
              </w:rPr>
              <w:t>指标名称</w:t>
            </w:r>
          </w:p>
        </w:tc>
        <w:tc>
          <w:tcPr>
            <w:tcW w:w="1684" w:type="pct"/>
            <w:vAlign w:val="center"/>
          </w:tcPr>
          <w:p w14:paraId="05E6B23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bCs/>
                <w:spacing w:val="0"/>
                <w:sz w:val="24"/>
                <w:szCs w:val="24"/>
                <w:vertAlign w:val="baseline"/>
                <w:lang w:val="en-US" w:eastAsia="zh-CN"/>
              </w:rPr>
            </w:pPr>
            <w:r>
              <w:rPr>
                <w:rFonts w:hint="eastAsia" w:ascii="Times New Roman" w:hAnsi="Times New Roman" w:cs="Times New Roman" w:eastAsiaTheme="minorEastAsia"/>
                <w:b/>
                <w:bCs/>
                <w:spacing w:val="0"/>
                <w:sz w:val="24"/>
                <w:szCs w:val="24"/>
                <w:vertAlign w:val="baseline"/>
                <w:lang w:val="en-US" w:eastAsia="zh-CN"/>
              </w:rPr>
              <w:t>指标说明</w:t>
            </w:r>
          </w:p>
        </w:tc>
        <w:tc>
          <w:tcPr>
            <w:tcW w:w="1721" w:type="pct"/>
            <w:vAlign w:val="center"/>
          </w:tcPr>
          <w:p w14:paraId="6A2B600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bCs/>
                <w:spacing w:val="0"/>
                <w:sz w:val="24"/>
                <w:szCs w:val="24"/>
                <w:vertAlign w:val="baseline"/>
                <w:lang w:val="en-US" w:eastAsia="zh-CN"/>
              </w:rPr>
            </w:pPr>
            <w:r>
              <w:rPr>
                <w:rFonts w:hint="default" w:ascii="Times New Roman" w:hAnsi="Times New Roman" w:cs="Times New Roman" w:eastAsiaTheme="minorEastAsia"/>
                <w:b/>
                <w:bCs/>
                <w:spacing w:val="0"/>
                <w:sz w:val="24"/>
                <w:szCs w:val="24"/>
                <w:vertAlign w:val="baseline"/>
                <w:lang w:val="en-US" w:eastAsia="zh-CN"/>
              </w:rPr>
              <w:t>符合性说明及证明材料索引</w:t>
            </w:r>
          </w:p>
        </w:tc>
      </w:tr>
      <w:tr w14:paraId="15FD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1071653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1.1</w:t>
            </w:r>
          </w:p>
        </w:tc>
        <w:tc>
          <w:tcPr>
            <w:tcW w:w="638" w:type="pct"/>
            <w:vMerge w:val="restart"/>
            <w:vAlign w:val="center"/>
          </w:tcPr>
          <w:p w14:paraId="6A7E8B9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p>
          <w:p w14:paraId="7C77BB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申报主体基本情况</w:t>
            </w:r>
          </w:p>
          <w:p w14:paraId="6EAE327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2E8FB53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财政涉企资金门槛</w:t>
            </w:r>
          </w:p>
        </w:tc>
        <w:tc>
          <w:tcPr>
            <w:tcW w:w="1684" w:type="pct"/>
            <w:vAlign w:val="center"/>
          </w:tcPr>
          <w:p w14:paraId="7A52E3D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符合财政涉企资金“绿色门槛”机制有关要求</w:t>
            </w:r>
          </w:p>
        </w:tc>
        <w:tc>
          <w:tcPr>
            <w:tcW w:w="1721" w:type="pct"/>
            <w:vAlign w:val="center"/>
          </w:tcPr>
          <w:p w14:paraId="30EFE9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156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316" w:type="pct"/>
            <w:vAlign w:val="center"/>
          </w:tcPr>
          <w:p w14:paraId="712C441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1.2</w:t>
            </w:r>
          </w:p>
        </w:tc>
        <w:tc>
          <w:tcPr>
            <w:tcW w:w="638" w:type="pct"/>
            <w:vMerge w:val="continue"/>
            <w:vAlign w:val="center"/>
          </w:tcPr>
          <w:p w14:paraId="6A9CA73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shd w:val="clear" w:color="auto" w:fill="auto"/>
            <w:vAlign w:val="center"/>
          </w:tcPr>
          <w:p w14:paraId="761C045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信用状况</w:t>
            </w:r>
          </w:p>
        </w:tc>
        <w:tc>
          <w:tcPr>
            <w:tcW w:w="1684" w:type="pct"/>
            <w:shd w:val="clear" w:color="auto" w:fill="auto"/>
            <w:vAlign w:val="center"/>
          </w:tcPr>
          <w:p w14:paraId="57219D5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1</w:t>
            </w:r>
            <w:r>
              <w:rPr>
                <w:rFonts w:hint="default" w:ascii="Times New Roman" w:hAnsi="Times New Roman" w:cs="Times New Roman" w:eastAsiaTheme="minorEastAsia"/>
                <w:spacing w:val="0"/>
                <w:sz w:val="24"/>
                <w:szCs w:val="24"/>
                <w:shd w:val="clear" w:color="auto" w:fill="auto"/>
                <w:vertAlign w:val="baseline"/>
                <w:lang w:val="en-US" w:eastAsia="zh-CN"/>
              </w:rPr>
              <w:t>年内无失信记录、无行政处罚记录（以信用中国、信用山东查询结果为准）</w:t>
            </w:r>
          </w:p>
        </w:tc>
        <w:tc>
          <w:tcPr>
            <w:tcW w:w="1721" w:type="pct"/>
            <w:vAlign w:val="center"/>
          </w:tcPr>
          <w:p w14:paraId="07717E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6AE9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6A121B2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1.3</w:t>
            </w:r>
          </w:p>
        </w:tc>
        <w:tc>
          <w:tcPr>
            <w:tcW w:w="638" w:type="pct"/>
            <w:vMerge w:val="continue"/>
            <w:vAlign w:val="center"/>
          </w:tcPr>
          <w:p w14:paraId="46B447F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5C27D20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财务情况</w:t>
            </w:r>
          </w:p>
        </w:tc>
        <w:tc>
          <w:tcPr>
            <w:tcW w:w="1684" w:type="pct"/>
            <w:vAlign w:val="center"/>
          </w:tcPr>
          <w:p w14:paraId="7A62B71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企业经营状况良好，具备持续运营能力</w:t>
            </w:r>
          </w:p>
        </w:tc>
        <w:tc>
          <w:tcPr>
            <w:tcW w:w="1721" w:type="pct"/>
            <w:vAlign w:val="center"/>
          </w:tcPr>
          <w:p w14:paraId="2D9774D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4899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51D0549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2.1</w:t>
            </w:r>
          </w:p>
        </w:tc>
        <w:tc>
          <w:tcPr>
            <w:tcW w:w="638" w:type="pct"/>
            <w:vMerge w:val="restart"/>
            <w:vAlign w:val="center"/>
          </w:tcPr>
          <w:p w14:paraId="6095A6D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设施建设水平</w:t>
            </w:r>
          </w:p>
          <w:p w14:paraId="72DFBF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5215D81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场地建设</w:t>
            </w:r>
          </w:p>
        </w:tc>
        <w:tc>
          <w:tcPr>
            <w:tcW w:w="1684" w:type="pct"/>
            <w:vAlign w:val="center"/>
          </w:tcPr>
          <w:p w14:paraId="0F09CFA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场地选址、土地手续、功能布局符合相关标准要求</w:t>
            </w:r>
          </w:p>
        </w:tc>
        <w:tc>
          <w:tcPr>
            <w:tcW w:w="1721" w:type="pct"/>
            <w:vAlign w:val="center"/>
          </w:tcPr>
          <w:p w14:paraId="6D23A87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551B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316" w:type="pct"/>
            <w:vAlign w:val="center"/>
          </w:tcPr>
          <w:p w14:paraId="4C1EEF9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2.2</w:t>
            </w:r>
          </w:p>
        </w:tc>
        <w:tc>
          <w:tcPr>
            <w:tcW w:w="638" w:type="pct"/>
            <w:vMerge w:val="continue"/>
            <w:vAlign w:val="center"/>
          </w:tcPr>
          <w:p w14:paraId="246B333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508D001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储存设施</w:t>
            </w:r>
          </w:p>
        </w:tc>
        <w:tc>
          <w:tcPr>
            <w:tcW w:w="1684" w:type="pct"/>
            <w:vAlign w:val="center"/>
          </w:tcPr>
          <w:p w14:paraId="371AA89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配备具备耐腐蚀、坚固、防火、绝缘特性的专用分类收集储存设施</w:t>
            </w:r>
          </w:p>
        </w:tc>
        <w:tc>
          <w:tcPr>
            <w:tcW w:w="1721" w:type="pct"/>
            <w:vAlign w:val="center"/>
          </w:tcPr>
          <w:p w14:paraId="2280C88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208A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296D187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2.3</w:t>
            </w:r>
          </w:p>
        </w:tc>
        <w:tc>
          <w:tcPr>
            <w:tcW w:w="638" w:type="pct"/>
            <w:vMerge w:val="continue"/>
            <w:vAlign w:val="center"/>
          </w:tcPr>
          <w:p w14:paraId="384274E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02DA84D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消防设施</w:t>
            </w:r>
          </w:p>
        </w:tc>
        <w:tc>
          <w:tcPr>
            <w:tcW w:w="1684" w:type="pct"/>
            <w:vAlign w:val="center"/>
          </w:tcPr>
          <w:p w14:paraId="1D199CE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配备消防设施并满足相关规范要求</w:t>
            </w:r>
          </w:p>
        </w:tc>
        <w:tc>
          <w:tcPr>
            <w:tcW w:w="1721" w:type="pct"/>
            <w:vAlign w:val="center"/>
          </w:tcPr>
          <w:p w14:paraId="64D1C1B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6ECF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0B8D752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2.4</w:t>
            </w:r>
          </w:p>
        </w:tc>
        <w:tc>
          <w:tcPr>
            <w:tcW w:w="638" w:type="pct"/>
            <w:vMerge w:val="continue"/>
            <w:vAlign w:val="center"/>
          </w:tcPr>
          <w:p w14:paraId="72B6A75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6FE6C2A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智能监测设施</w:t>
            </w:r>
          </w:p>
        </w:tc>
        <w:tc>
          <w:tcPr>
            <w:tcW w:w="1684" w:type="pct"/>
            <w:vAlign w:val="center"/>
          </w:tcPr>
          <w:p w14:paraId="0224205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配备监控预警、烟雾报警等智能监测设施</w:t>
            </w:r>
          </w:p>
        </w:tc>
        <w:tc>
          <w:tcPr>
            <w:tcW w:w="1721" w:type="pct"/>
            <w:vAlign w:val="center"/>
          </w:tcPr>
          <w:p w14:paraId="10B8427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5E47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316" w:type="pct"/>
            <w:vAlign w:val="center"/>
          </w:tcPr>
          <w:p w14:paraId="11DAB20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2.5</w:t>
            </w:r>
          </w:p>
        </w:tc>
        <w:tc>
          <w:tcPr>
            <w:tcW w:w="638" w:type="pct"/>
            <w:vMerge w:val="continue"/>
            <w:vAlign w:val="center"/>
          </w:tcPr>
          <w:p w14:paraId="539A5E2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3972B73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安全作业</w:t>
            </w:r>
          </w:p>
          <w:p w14:paraId="5E1914D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设备</w:t>
            </w:r>
          </w:p>
        </w:tc>
        <w:tc>
          <w:tcPr>
            <w:tcW w:w="1684" w:type="pct"/>
            <w:vAlign w:val="center"/>
          </w:tcPr>
          <w:p w14:paraId="77D9EB3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配备绝缘检测设备、放电柜</w:t>
            </w:r>
            <w:r>
              <w:rPr>
                <w:rFonts w:hint="eastAsia" w:ascii="Times New Roman" w:hAnsi="Times New Roman" w:cs="Times New Roman" w:eastAsiaTheme="minorEastAsia"/>
                <w:spacing w:val="0"/>
                <w:sz w:val="24"/>
                <w:szCs w:val="24"/>
                <w:shd w:val="clear" w:color="auto" w:fill="auto"/>
                <w:vertAlign w:val="baseline"/>
                <w:lang w:val="en-US" w:eastAsia="zh-CN"/>
              </w:rPr>
              <w:t>和盐水池（箱）等安全作业设备</w:t>
            </w:r>
          </w:p>
        </w:tc>
        <w:tc>
          <w:tcPr>
            <w:tcW w:w="1721" w:type="pct"/>
            <w:vAlign w:val="center"/>
          </w:tcPr>
          <w:p w14:paraId="64D00E2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6DBC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16" w:type="pct"/>
            <w:shd w:val="clear" w:color="auto" w:fill="auto"/>
            <w:vAlign w:val="center"/>
          </w:tcPr>
          <w:p w14:paraId="79CD032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3.1</w:t>
            </w:r>
          </w:p>
        </w:tc>
        <w:tc>
          <w:tcPr>
            <w:tcW w:w="638" w:type="pct"/>
            <w:vMerge w:val="restart"/>
            <w:vAlign w:val="center"/>
          </w:tcPr>
          <w:p w14:paraId="6AE4EEA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回收利用能力</w:t>
            </w:r>
          </w:p>
        </w:tc>
        <w:tc>
          <w:tcPr>
            <w:tcW w:w="638" w:type="pct"/>
            <w:vAlign w:val="center"/>
          </w:tcPr>
          <w:p w14:paraId="5D2E151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综合利用能力</w:t>
            </w:r>
          </w:p>
        </w:tc>
        <w:tc>
          <w:tcPr>
            <w:tcW w:w="1684" w:type="pct"/>
            <w:vAlign w:val="center"/>
          </w:tcPr>
          <w:p w14:paraId="1826F0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具备拆解、再利用、破碎分选、材料修复、再生利用等加工处理能力</w:t>
            </w:r>
          </w:p>
        </w:tc>
        <w:tc>
          <w:tcPr>
            <w:tcW w:w="1721" w:type="pct"/>
            <w:vAlign w:val="center"/>
          </w:tcPr>
          <w:p w14:paraId="7FAD5F7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5BE9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shd w:val="clear" w:color="auto" w:fill="auto"/>
            <w:vAlign w:val="center"/>
          </w:tcPr>
          <w:p w14:paraId="2238FEF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3.2</w:t>
            </w:r>
          </w:p>
        </w:tc>
        <w:tc>
          <w:tcPr>
            <w:tcW w:w="638" w:type="pct"/>
            <w:vMerge w:val="continue"/>
            <w:vAlign w:val="center"/>
          </w:tcPr>
          <w:p w14:paraId="53ADD5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16E3ED7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技术装备水平</w:t>
            </w:r>
          </w:p>
        </w:tc>
        <w:tc>
          <w:tcPr>
            <w:tcW w:w="1684" w:type="pct"/>
            <w:vAlign w:val="center"/>
          </w:tcPr>
          <w:p w14:paraId="0938FB8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自动化、智能化、绿色化装备应用水平</w:t>
            </w:r>
          </w:p>
        </w:tc>
        <w:tc>
          <w:tcPr>
            <w:tcW w:w="1721" w:type="pct"/>
            <w:vAlign w:val="center"/>
          </w:tcPr>
          <w:p w14:paraId="4E456F7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710E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shd w:val="clear" w:color="auto" w:fill="auto"/>
            <w:vAlign w:val="center"/>
          </w:tcPr>
          <w:p w14:paraId="1BC319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3.3</w:t>
            </w:r>
          </w:p>
        </w:tc>
        <w:tc>
          <w:tcPr>
            <w:tcW w:w="638" w:type="pct"/>
            <w:vMerge w:val="continue"/>
            <w:vAlign w:val="center"/>
          </w:tcPr>
          <w:p w14:paraId="46B5A99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42D7D60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节能降碳水平</w:t>
            </w:r>
          </w:p>
        </w:tc>
        <w:tc>
          <w:tcPr>
            <w:tcW w:w="1684" w:type="pct"/>
            <w:vAlign w:val="center"/>
          </w:tcPr>
          <w:p w14:paraId="4C3CB2C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单位产品能耗、资源回收率达到行业先进水平</w:t>
            </w:r>
          </w:p>
        </w:tc>
        <w:tc>
          <w:tcPr>
            <w:tcW w:w="1721" w:type="pct"/>
            <w:vAlign w:val="center"/>
          </w:tcPr>
          <w:p w14:paraId="4082B75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121B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0E11A35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4.1</w:t>
            </w:r>
          </w:p>
        </w:tc>
        <w:tc>
          <w:tcPr>
            <w:tcW w:w="638" w:type="pct"/>
            <w:vMerge w:val="restart"/>
            <w:vAlign w:val="center"/>
          </w:tcPr>
          <w:p w14:paraId="459B142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规范运营管理</w:t>
            </w:r>
          </w:p>
        </w:tc>
        <w:tc>
          <w:tcPr>
            <w:tcW w:w="638" w:type="pct"/>
            <w:vAlign w:val="center"/>
          </w:tcPr>
          <w:p w14:paraId="027E8F4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溯源管理</w:t>
            </w:r>
          </w:p>
        </w:tc>
        <w:tc>
          <w:tcPr>
            <w:tcW w:w="1684" w:type="pct"/>
            <w:vAlign w:val="center"/>
          </w:tcPr>
          <w:p w14:paraId="3EC3FFA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接入国家及省级动力电池溯源平台</w:t>
            </w:r>
          </w:p>
        </w:tc>
        <w:tc>
          <w:tcPr>
            <w:tcW w:w="1721" w:type="pct"/>
            <w:vAlign w:val="center"/>
          </w:tcPr>
          <w:p w14:paraId="303B63D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53BC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27816D6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4.2</w:t>
            </w:r>
          </w:p>
        </w:tc>
        <w:tc>
          <w:tcPr>
            <w:tcW w:w="638" w:type="pct"/>
            <w:vMerge w:val="continue"/>
            <w:vAlign w:val="center"/>
          </w:tcPr>
          <w:p w14:paraId="52EA8CD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64014F3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信息化管理</w:t>
            </w:r>
          </w:p>
        </w:tc>
        <w:tc>
          <w:tcPr>
            <w:tcW w:w="1684" w:type="pct"/>
            <w:vAlign w:val="center"/>
          </w:tcPr>
          <w:p w14:paraId="36A97C3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建立全过程数字化管理系统</w:t>
            </w:r>
          </w:p>
        </w:tc>
        <w:tc>
          <w:tcPr>
            <w:tcW w:w="1721" w:type="pct"/>
            <w:vAlign w:val="center"/>
          </w:tcPr>
          <w:p w14:paraId="3B15334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3033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316" w:type="pct"/>
            <w:vAlign w:val="center"/>
          </w:tcPr>
          <w:p w14:paraId="75BD49F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4.3</w:t>
            </w:r>
          </w:p>
        </w:tc>
        <w:tc>
          <w:tcPr>
            <w:tcW w:w="638" w:type="pct"/>
            <w:vMerge w:val="continue"/>
            <w:vAlign w:val="center"/>
          </w:tcPr>
          <w:p w14:paraId="783D778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29776F3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固废管理</w:t>
            </w:r>
          </w:p>
        </w:tc>
        <w:tc>
          <w:tcPr>
            <w:tcW w:w="1684" w:type="pct"/>
            <w:vAlign w:val="center"/>
          </w:tcPr>
          <w:p w14:paraId="1837BBF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建立固体废物管理台账，并按国家有关要求进行无害化处置</w:t>
            </w:r>
          </w:p>
        </w:tc>
        <w:tc>
          <w:tcPr>
            <w:tcW w:w="1721" w:type="pct"/>
            <w:vAlign w:val="center"/>
          </w:tcPr>
          <w:p w14:paraId="4C116C1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62BF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69EE090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4.4</w:t>
            </w:r>
          </w:p>
        </w:tc>
        <w:tc>
          <w:tcPr>
            <w:tcW w:w="638" w:type="pct"/>
            <w:vMerge w:val="continue"/>
            <w:vAlign w:val="center"/>
          </w:tcPr>
          <w:p w14:paraId="6148CE3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7631F1F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数据质量</w:t>
            </w:r>
          </w:p>
        </w:tc>
        <w:tc>
          <w:tcPr>
            <w:tcW w:w="1684" w:type="pct"/>
            <w:vAlign w:val="center"/>
          </w:tcPr>
          <w:p w14:paraId="0D2151F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上传数据真实完整，可追溯、可核查</w:t>
            </w:r>
          </w:p>
        </w:tc>
        <w:tc>
          <w:tcPr>
            <w:tcW w:w="1721" w:type="pct"/>
            <w:vAlign w:val="center"/>
          </w:tcPr>
          <w:p w14:paraId="231FF8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43DA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013D299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5.1</w:t>
            </w:r>
          </w:p>
        </w:tc>
        <w:tc>
          <w:tcPr>
            <w:tcW w:w="638" w:type="pct"/>
            <w:vMerge w:val="restart"/>
            <w:vAlign w:val="center"/>
          </w:tcPr>
          <w:p w14:paraId="20D659C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安全环保质量管理</w:t>
            </w:r>
          </w:p>
        </w:tc>
        <w:tc>
          <w:tcPr>
            <w:tcW w:w="638" w:type="pct"/>
            <w:vAlign w:val="center"/>
          </w:tcPr>
          <w:p w14:paraId="73FC733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体系建设</w:t>
            </w:r>
          </w:p>
        </w:tc>
        <w:tc>
          <w:tcPr>
            <w:tcW w:w="1684" w:type="pct"/>
            <w:shd w:val="clear" w:color="auto" w:fill="auto"/>
            <w:vAlign w:val="center"/>
          </w:tcPr>
          <w:p w14:paraId="40D16ED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default" w:ascii="Times New Roman" w:hAnsi="Times New Roman" w:cs="Times New Roman" w:eastAsiaTheme="minorEastAsia"/>
                <w:spacing w:val="0"/>
                <w:sz w:val="24"/>
                <w:szCs w:val="24"/>
                <w:shd w:val="clear" w:color="auto" w:fill="auto"/>
                <w:vertAlign w:val="baseline"/>
                <w:lang w:val="en-US" w:eastAsia="zh-CN"/>
              </w:rPr>
              <w:t>建立健全安全生产标准化和隐患排查治理体系</w:t>
            </w:r>
          </w:p>
        </w:tc>
        <w:tc>
          <w:tcPr>
            <w:tcW w:w="1721" w:type="pct"/>
            <w:vAlign w:val="center"/>
          </w:tcPr>
          <w:p w14:paraId="33EB624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3713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379CF46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5.2</w:t>
            </w:r>
          </w:p>
        </w:tc>
        <w:tc>
          <w:tcPr>
            <w:tcW w:w="638" w:type="pct"/>
            <w:vMerge w:val="continue"/>
            <w:vAlign w:val="center"/>
          </w:tcPr>
          <w:p w14:paraId="6C12B4F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0682A3A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人员配置</w:t>
            </w:r>
          </w:p>
        </w:tc>
        <w:tc>
          <w:tcPr>
            <w:tcW w:w="1684" w:type="pct"/>
            <w:vAlign w:val="center"/>
          </w:tcPr>
          <w:p w14:paraId="1E4B2E7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配备专职安全、环保、质量管理人员</w:t>
            </w:r>
          </w:p>
        </w:tc>
        <w:tc>
          <w:tcPr>
            <w:tcW w:w="1721" w:type="pct"/>
            <w:vAlign w:val="center"/>
          </w:tcPr>
          <w:p w14:paraId="36D69F1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05B9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14CE8D7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5.3</w:t>
            </w:r>
          </w:p>
        </w:tc>
        <w:tc>
          <w:tcPr>
            <w:tcW w:w="638" w:type="pct"/>
            <w:vMerge w:val="continue"/>
            <w:vAlign w:val="center"/>
          </w:tcPr>
          <w:p w14:paraId="3C37418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0255C24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环保手续</w:t>
            </w:r>
          </w:p>
        </w:tc>
        <w:tc>
          <w:tcPr>
            <w:tcW w:w="1684" w:type="pct"/>
            <w:vAlign w:val="center"/>
          </w:tcPr>
          <w:p w14:paraId="67A61EA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环评、排污许可等手续齐全</w:t>
            </w:r>
          </w:p>
        </w:tc>
        <w:tc>
          <w:tcPr>
            <w:tcW w:w="1721" w:type="pct"/>
            <w:vAlign w:val="center"/>
          </w:tcPr>
          <w:p w14:paraId="7E3E7EC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4DF8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262DE1A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5.4</w:t>
            </w:r>
          </w:p>
        </w:tc>
        <w:tc>
          <w:tcPr>
            <w:tcW w:w="638" w:type="pct"/>
            <w:vMerge w:val="continue"/>
            <w:vAlign w:val="center"/>
          </w:tcPr>
          <w:p w14:paraId="2C70FA8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4EE29E1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管理体系认证</w:t>
            </w:r>
          </w:p>
        </w:tc>
        <w:tc>
          <w:tcPr>
            <w:tcW w:w="1684" w:type="pct"/>
            <w:vAlign w:val="center"/>
          </w:tcPr>
          <w:p w14:paraId="2B841EB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通过ISO14001、ISO45001、ISO 9001等体系认证</w:t>
            </w:r>
          </w:p>
        </w:tc>
        <w:tc>
          <w:tcPr>
            <w:tcW w:w="1721" w:type="pct"/>
            <w:vAlign w:val="center"/>
          </w:tcPr>
          <w:p w14:paraId="298DC15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1042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4BFAA85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5.5</w:t>
            </w:r>
          </w:p>
        </w:tc>
        <w:tc>
          <w:tcPr>
            <w:tcW w:w="638" w:type="pct"/>
            <w:vMerge w:val="continue"/>
            <w:vAlign w:val="center"/>
          </w:tcPr>
          <w:p w14:paraId="635B562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4734299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产品检测</w:t>
            </w:r>
          </w:p>
        </w:tc>
        <w:tc>
          <w:tcPr>
            <w:tcW w:w="1684" w:type="pct"/>
            <w:vAlign w:val="center"/>
          </w:tcPr>
          <w:p w14:paraId="104A066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产品符合相关标准要求，并具有相关检测报告</w:t>
            </w:r>
          </w:p>
        </w:tc>
        <w:tc>
          <w:tcPr>
            <w:tcW w:w="1721" w:type="pct"/>
            <w:vAlign w:val="center"/>
          </w:tcPr>
          <w:p w14:paraId="404E15E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43AB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0173DF1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5.6</w:t>
            </w:r>
          </w:p>
        </w:tc>
        <w:tc>
          <w:tcPr>
            <w:tcW w:w="638" w:type="pct"/>
            <w:vMerge w:val="continue"/>
            <w:vAlign w:val="center"/>
          </w:tcPr>
          <w:p w14:paraId="66EF6F4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5E643D0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应急管理</w:t>
            </w:r>
          </w:p>
        </w:tc>
        <w:tc>
          <w:tcPr>
            <w:tcW w:w="1684" w:type="pct"/>
            <w:vAlign w:val="center"/>
          </w:tcPr>
          <w:p w14:paraId="539FEFF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建立应急预案并定期开展演练</w:t>
            </w:r>
          </w:p>
        </w:tc>
        <w:tc>
          <w:tcPr>
            <w:tcW w:w="1721" w:type="pct"/>
            <w:vAlign w:val="center"/>
          </w:tcPr>
          <w:p w14:paraId="229430B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0904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2E85435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5.7</w:t>
            </w:r>
          </w:p>
        </w:tc>
        <w:tc>
          <w:tcPr>
            <w:tcW w:w="638" w:type="pct"/>
            <w:vMerge w:val="continue"/>
            <w:vAlign w:val="center"/>
          </w:tcPr>
          <w:p w14:paraId="14F6E1F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789992D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达标排放</w:t>
            </w:r>
          </w:p>
        </w:tc>
        <w:tc>
          <w:tcPr>
            <w:tcW w:w="1684" w:type="pct"/>
            <w:vAlign w:val="center"/>
          </w:tcPr>
          <w:p w14:paraId="775E8BF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废气、废水、固废处理符合要求</w:t>
            </w:r>
          </w:p>
        </w:tc>
        <w:tc>
          <w:tcPr>
            <w:tcW w:w="1721" w:type="pct"/>
            <w:vAlign w:val="center"/>
          </w:tcPr>
          <w:p w14:paraId="13583E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35A5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shd w:val="clear" w:color="auto" w:fill="auto"/>
            <w:vAlign w:val="center"/>
          </w:tcPr>
          <w:p w14:paraId="35B0107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6.1</w:t>
            </w:r>
          </w:p>
        </w:tc>
        <w:tc>
          <w:tcPr>
            <w:tcW w:w="638" w:type="pct"/>
            <w:vMerge w:val="restart"/>
            <w:vAlign w:val="center"/>
          </w:tcPr>
          <w:p w14:paraId="695A1E3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加分项</w:t>
            </w:r>
          </w:p>
        </w:tc>
        <w:tc>
          <w:tcPr>
            <w:tcW w:w="638" w:type="pct"/>
            <w:vAlign w:val="center"/>
          </w:tcPr>
          <w:p w14:paraId="32D98A8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回收网络建设</w:t>
            </w:r>
          </w:p>
        </w:tc>
        <w:tc>
          <w:tcPr>
            <w:tcW w:w="1684" w:type="pct"/>
            <w:vAlign w:val="center"/>
          </w:tcPr>
          <w:p w14:paraId="42B9EF6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建设回收及合作渠道情况</w:t>
            </w:r>
          </w:p>
        </w:tc>
        <w:tc>
          <w:tcPr>
            <w:tcW w:w="1721" w:type="pct"/>
            <w:vAlign w:val="center"/>
          </w:tcPr>
          <w:p w14:paraId="37132FF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56CD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shd w:val="clear" w:color="auto" w:fill="auto"/>
            <w:vAlign w:val="center"/>
          </w:tcPr>
          <w:p w14:paraId="1A287F2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6.2</w:t>
            </w:r>
          </w:p>
        </w:tc>
        <w:tc>
          <w:tcPr>
            <w:tcW w:w="638" w:type="pct"/>
            <w:vMerge w:val="continue"/>
            <w:vAlign w:val="center"/>
          </w:tcPr>
          <w:p w14:paraId="0CCF1CE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507F8AA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区域覆盖能力</w:t>
            </w:r>
          </w:p>
        </w:tc>
        <w:tc>
          <w:tcPr>
            <w:tcW w:w="1684" w:type="pct"/>
            <w:vAlign w:val="center"/>
          </w:tcPr>
          <w:p w14:paraId="1A6E5A5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服务区域覆盖范围和资源整合能力</w:t>
            </w:r>
          </w:p>
        </w:tc>
        <w:tc>
          <w:tcPr>
            <w:tcW w:w="1721" w:type="pct"/>
            <w:vAlign w:val="center"/>
          </w:tcPr>
          <w:p w14:paraId="0C45F13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3556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059AD51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6.3</w:t>
            </w:r>
          </w:p>
        </w:tc>
        <w:tc>
          <w:tcPr>
            <w:tcW w:w="638" w:type="pct"/>
            <w:vMerge w:val="continue"/>
            <w:vAlign w:val="center"/>
          </w:tcPr>
          <w:p w14:paraId="03D0162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7B2532D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技术创新能力</w:t>
            </w:r>
          </w:p>
        </w:tc>
        <w:tc>
          <w:tcPr>
            <w:tcW w:w="1684" w:type="pct"/>
            <w:vAlign w:val="center"/>
          </w:tcPr>
          <w:p w14:paraId="07FAEBB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技术研发、知识产权、工艺创新情况</w:t>
            </w:r>
          </w:p>
        </w:tc>
        <w:tc>
          <w:tcPr>
            <w:tcW w:w="1721" w:type="pct"/>
            <w:vAlign w:val="center"/>
          </w:tcPr>
          <w:p w14:paraId="118F7CD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1BD9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54117D2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6.4</w:t>
            </w:r>
          </w:p>
        </w:tc>
        <w:tc>
          <w:tcPr>
            <w:tcW w:w="638" w:type="pct"/>
            <w:vMerge w:val="continue"/>
            <w:vAlign w:val="center"/>
          </w:tcPr>
          <w:p w14:paraId="7D00B6C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73F9D21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标准制定情况</w:t>
            </w:r>
          </w:p>
        </w:tc>
        <w:tc>
          <w:tcPr>
            <w:tcW w:w="1684" w:type="pct"/>
            <w:vAlign w:val="center"/>
          </w:tcPr>
          <w:p w14:paraId="1B7D7A8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参与国家、行业、地方或团体标准制定情况</w:t>
            </w:r>
          </w:p>
        </w:tc>
        <w:tc>
          <w:tcPr>
            <w:tcW w:w="1721" w:type="pct"/>
            <w:vAlign w:val="center"/>
          </w:tcPr>
          <w:p w14:paraId="231072F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r w14:paraId="0F29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316" w:type="pct"/>
            <w:vAlign w:val="center"/>
          </w:tcPr>
          <w:p w14:paraId="42A6254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6.5</w:t>
            </w:r>
          </w:p>
        </w:tc>
        <w:tc>
          <w:tcPr>
            <w:tcW w:w="638" w:type="pct"/>
            <w:vMerge w:val="continue"/>
            <w:vAlign w:val="center"/>
          </w:tcPr>
          <w:p w14:paraId="474F7B7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c>
          <w:tcPr>
            <w:tcW w:w="638" w:type="pct"/>
            <w:vAlign w:val="center"/>
          </w:tcPr>
          <w:p w14:paraId="39F57F7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行业贡献度</w:t>
            </w:r>
          </w:p>
        </w:tc>
        <w:tc>
          <w:tcPr>
            <w:tcW w:w="1684" w:type="pct"/>
            <w:vAlign w:val="center"/>
          </w:tcPr>
          <w:p w14:paraId="091349E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r>
              <w:rPr>
                <w:rFonts w:hint="eastAsia" w:ascii="Times New Roman" w:hAnsi="Times New Roman" w:cs="Times New Roman" w:eastAsiaTheme="minorEastAsia"/>
                <w:spacing w:val="0"/>
                <w:sz w:val="24"/>
                <w:szCs w:val="24"/>
                <w:shd w:val="clear" w:color="auto" w:fill="auto"/>
                <w:vertAlign w:val="baseline"/>
                <w:lang w:val="en-US" w:eastAsia="zh-CN"/>
              </w:rPr>
              <w:t>节能降碳、行业示范及社会效益情况</w:t>
            </w:r>
          </w:p>
        </w:tc>
        <w:tc>
          <w:tcPr>
            <w:tcW w:w="1721" w:type="pct"/>
            <w:vAlign w:val="center"/>
          </w:tcPr>
          <w:p w14:paraId="1F741C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shd w:val="clear" w:color="auto" w:fill="auto"/>
                <w:vertAlign w:val="baseline"/>
                <w:lang w:val="en-US" w:eastAsia="zh-CN"/>
              </w:rPr>
            </w:pPr>
          </w:p>
        </w:tc>
      </w:tr>
    </w:tbl>
    <w:p w14:paraId="63DFFFC3">
      <w:pPr>
        <w:shd w:val="clear"/>
        <w:rPr>
          <w:rFonts w:hint="default" w:ascii="Times New Roman" w:hAnsi="Times New Roman" w:eastAsia="方正黑体_GBK" w:cs="Times New Roman"/>
          <w:color w:val="000000"/>
          <w:kern w:val="0"/>
          <w:sz w:val="30"/>
          <w:szCs w:val="30"/>
          <w:lang w:val="en-US" w:eastAsia="zh-CN" w:bidi="ar"/>
        </w:rPr>
      </w:pPr>
      <w:r>
        <w:rPr>
          <w:rFonts w:hint="default" w:ascii="Times New Roman" w:hAnsi="Times New Roman" w:eastAsia="方正黑体_GBK" w:cs="Times New Roman"/>
          <w:color w:val="000000"/>
          <w:kern w:val="0"/>
          <w:sz w:val="30"/>
          <w:szCs w:val="30"/>
          <w:lang w:val="en-US" w:eastAsia="zh-CN" w:bidi="ar"/>
        </w:rPr>
        <w:br w:type="page"/>
      </w:r>
    </w:p>
    <w:p w14:paraId="5A48A029">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r>
        <w:rPr>
          <w:rFonts w:hint="default" w:ascii="Times New Roman" w:hAnsi="Times New Roman" w:eastAsia="黑体" w:cs="Times New Roman"/>
          <w:b w:val="0"/>
          <w:bCs w:val="0"/>
          <w:i w:val="0"/>
          <w:iCs w:val="0"/>
          <w:caps w:val="0"/>
          <w:color w:val="0F1115"/>
          <w:spacing w:val="0"/>
          <w:sz w:val="32"/>
          <w:szCs w:val="32"/>
          <w:shd w:val="clear" w:fill="FFFFFF"/>
          <w:lang w:val="en-US" w:eastAsia="zh-CN"/>
        </w:rPr>
        <w:t>表2</w:t>
      </w:r>
    </w:p>
    <w:p w14:paraId="229CD8D4">
      <w:pPr>
        <w:rPr>
          <w:rFonts w:hint="default"/>
          <w:lang w:val="en-US" w:eastAsia="zh-CN"/>
        </w:rPr>
      </w:pPr>
      <w:bookmarkStart w:id="0" w:name="_GoBack"/>
      <w:bookmarkEnd w:id="0"/>
    </w:p>
    <w:p w14:paraId="20FBA8F9">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2026年度山东省工业再生资源（废旧动力电池领域）</w:t>
      </w:r>
    </w:p>
    <w:p w14:paraId="136BF939">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仿宋" w:cs="Times New Roman"/>
          <w:b/>
          <w:bCs/>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循环利用节能降碳奖补资金绩效目标申报表</w:t>
      </w:r>
    </w:p>
    <w:tbl>
      <w:tblPr>
        <w:tblStyle w:val="9"/>
        <w:tblW w:w="514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791"/>
        <w:gridCol w:w="1685"/>
        <w:gridCol w:w="1662"/>
        <w:gridCol w:w="1618"/>
        <w:gridCol w:w="1711"/>
        <w:gridCol w:w="1671"/>
      </w:tblGrid>
      <w:tr w14:paraId="0D93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7" w:hRule="atLeast"/>
        </w:trPr>
        <w:tc>
          <w:tcPr>
            <w:tcW w:w="1355" w:type="pct"/>
            <w:gridSpan w:val="2"/>
            <w:tcBorders>
              <w:top w:val="single" w:color="000000" w:sz="4" w:space="0"/>
              <w:left w:val="single" w:color="000000" w:sz="4" w:space="0"/>
              <w:bottom w:val="single" w:color="000000" w:sz="4" w:space="0"/>
              <w:right w:val="single" w:color="000000" w:sz="4" w:space="0"/>
            </w:tcBorders>
            <w:noWrap w:val="0"/>
            <w:vAlign w:val="center"/>
          </w:tcPr>
          <w:p w14:paraId="0FA1079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申报单位</w:t>
            </w:r>
          </w:p>
        </w:tc>
        <w:tc>
          <w:tcPr>
            <w:tcW w:w="3644" w:type="pct"/>
            <w:gridSpan w:val="4"/>
            <w:tcBorders>
              <w:top w:val="single" w:color="000000" w:sz="4" w:space="0"/>
              <w:left w:val="single" w:color="000000" w:sz="4" w:space="0"/>
              <w:bottom w:val="single" w:color="000000" w:sz="4" w:space="0"/>
              <w:right w:val="single" w:color="000000" w:sz="4" w:space="0"/>
            </w:tcBorders>
            <w:noWrap w:val="0"/>
            <w:vAlign w:val="center"/>
          </w:tcPr>
          <w:p w14:paraId="7CB4172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2E3B7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02" w:hRule="atLeast"/>
        </w:trPr>
        <w:tc>
          <w:tcPr>
            <w:tcW w:w="1355" w:type="pct"/>
            <w:gridSpan w:val="2"/>
            <w:tcBorders>
              <w:top w:val="single" w:color="000000" w:sz="4" w:space="0"/>
              <w:left w:val="single" w:color="000000" w:sz="4" w:space="0"/>
              <w:right w:val="single" w:color="000000" w:sz="4" w:space="0"/>
            </w:tcBorders>
            <w:noWrap w:val="0"/>
            <w:vAlign w:val="center"/>
          </w:tcPr>
          <w:p w14:paraId="57E38F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资金用途及使用概况</w:t>
            </w:r>
          </w:p>
        </w:tc>
        <w:tc>
          <w:tcPr>
            <w:tcW w:w="3644" w:type="pct"/>
            <w:gridSpan w:val="4"/>
            <w:tcBorders>
              <w:top w:val="single" w:color="000000" w:sz="4" w:space="0"/>
              <w:left w:val="single" w:color="000000" w:sz="4" w:space="0"/>
              <w:bottom w:val="single" w:color="000000" w:sz="4" w:space="0"/>
              <w:right w:val="single" w:color="000000" w:sz="4" w:space="0"/>
            </w:tcBorders>
            <w:noWrap w:val="0"/>
            <w:vAlign w:val="center"/>
          </w:tcPr>
          <w:p w14:paraId="3523F1F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7C5C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1355" w:type="pct"/>
            <w:gridSpan w:val="2"/>
            <w:tcBorders>
              <w:top w:val="single" w:color="000000" w:sz="4" w:space="0"/>
              <w:left w:val="single" w:color="000000" w:sz="4" w:space="0"/>
              <w:bottom w:val="single" w:color="000000" w:sz="4" w:space="0"/>
              <w:right w:val="single" w:color="000000" w:sz="4" w:space="0"/>
            </w:tcBorders>
            <w:noWrap w:val="0"/>
            <w:vAlign w:val="center"/>
          </w:tcPr>
          <w:p w14:paraId="751192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负责人</w:t>
            </w:r>
          </w:p>
        </w:tc>
        <w:tc>
          <w:tcPr>
            <w:tcW w:w="3644" w:type="pct"/>
            <w:gridSpan w:val="4"/>
            <w:tcBorders>
              <w:top w:val="single" w:color="000000" w:sz="4" w:space="0"/>
              <w:left w:val="single" w:color="000000" w:sz="4" w:space="0"/>
              <w:bottom w:val="single" w:color="000000" w:sz="4" w:space="0"/>
              <w:right w:val="single" w:color="000000" w:sz="4" w:space="0"/>
            </w:tcBorders>
            <w:noWrap w:val="0"/>
            <w:vAlign w:val="center"/>
          </w:tcPr>
          <w:p w14:paraId="14A6559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050E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1355" w:type="pct"/>
            <w:gridSpan w:val="2"/>
            <w:tcBorders>
              <w:top w:val="single" w:color="000000" w:sz="4" w:space="0"/>
              <w:left w:val="single" w:color="000000" w:sz="4" w:space="0"/>
              <w:bottom w:val="single" w:color="000000" w:sz="4" w:space="0"/>
              <w:right w:val="single" w:color="000000" w:sz="4" w:space="0"/>
            </w:tcBorders>
            <w:noWrap w:val="0"/>
            <w:vAlign w:val="center"/>
          </w:tcPr>
          <w:p w14:paraId="0B7F4B2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联系电话</w:t>
            </w:r>
          </w:p>
        </w:tc>
        <w:tc>
          <w:tcPr>
            <w:tcW w:w="3644" w:type="pct"/>
            <w:gridSpan w:val="4"/>
            <w:tcBorders>
              <w:top w:val="single" w:color="000000" w:sz="4" w:space="0"/>
              <w:left w:val="single" w:color="000000" w:sz="4" w:space="0"/>
              <w:bottom w:val="single" w:color="000000" w:sz="4" w:space="0"/>
              <w:right w:val="single" w:color="000000" w:sz="4" w:space="0"/>
            </w:tcBorders>
            <w:noWrap w:val="0"/>
            <w:vAlign w:val="center"/>
          </w:tcPr>
          <w:p w14:paraId="7EEEFD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7196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3" w:hRule="atLeast"/>
        </w:trPr>
        <w:tc>
          <w:tcPr>
            <w:tcW w:w="433" w:type="pct"/>
            <w:vMerge w:val="restart"/>
            <w:tcBorders>
              <w:top w:val="single" w:color="000000" w:sz="4" w:space="0"/>
              <w:left w:val="single" w:color="000000" w:sz="4" w:space="0"/>
              <w:bottom w:val="single" w:color="000000" w:sz="4" w:space="0"/>
              <w:right w:val="single" w:color="000000" w:sz="4" w:space="0"/>
            </w:tcBorders>
            <w:noWrap w:val="0"/>
            <w:vAlign w:val="center"/>
          </w:tcPr>
          <w:p w14:paraId="4A03899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绩</w:t>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t>效</w:t>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t>指</w:t>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br w:type="textWrapping"/>
            </w:r>
            <w:r>
              <w:rPr>
                <w:rFonts w:hint="default" w:ascii="Times New Roman" w:hAnsi="Times New Roman" w:cs="Times New Roman" w:eastAsiaTheme="minorEastAsia"/>
                <w:spacing w:val="0"/>
                <w:sz w:val="24"/>
                <w:szCs w:val="24"/>
                <w:vertAlign w:val="baseline"/>
                <w:lang w:val="en-US" w:eastAsia="zh-CN"/>
              </w:rPr>
              <w:t>标</w:t>
            </w:r>
          </w:p>
        </w:tc>
        <w:tc>
          <w:tcPr>
            <w:tcW w:w="922" w:type="pct"/>
            <w:tcBorders>
              <w:top w:val="single" w:color="000000" w:sz="4" w:space="0"/>
              <w:left w:val="single" w:color="000000" w:sz="4" w:space="0"/>
              <w:bottom w:val="single" w:color="000000" w:sz="4" w:space="0"/>
              <w:right w:val="single" w:color="000000" w:sz="4" w:space="0"/>
            </w:tcBorders>
            <w:noWrap w:val="0"/>
            <w:vAlign w:val="center"/>
          </w:tcPr>
          <w:p w14:paraId="338F5D9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一级指标</w:t>
            </w:r>
          </w:p>
        </w:tc>
        <w:tc>
          <w:tcPr>
            <w:tcW w:w="909" w:type="pct"/>
            <w:tcBorders>
              <w:top w:val="single" w:color="000000" w:sz="4" w:space="0"/>
              <w:left w:val="single" w:color="000000" w:sz="4" w:space="0"/>
              <w:bottom w:val="single" w:color="000000" w:sz="4" w:space="0"/>
              <w:right w:val="single" w:color="000000" w:sz="4" w:space="0"/>
            </w:tcBorders>
            <w:noWrap w:val="0"/>
            <w:vAlign w:val="center"/>
          </w:tcPr>
          <w:p w14:paraId="1EDB23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二级指标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40BC13F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指标内容</w:t>
            </w:r>
          </w:p>
        </w:tc>
        <w:tc>
          <w:tcPr>
            <w:tcW w:w="936" w:type="pct"/>
            <w:tcBorders>
              <w:top w:val="single" w:color="000000" w:sz="4" w:space="0"/>
              <w:left w:val="single" w:color="000000" w:sz="4" w:space="0"/>
              <w:bottom w:val="single" w:color="000000" w:sz="4" w:space="0"/>
              <w:right w:val="single" w:color="000000" w:sz="4" w:space="0"/>
            </w:tcBorders>
            <w:noWrap w:val="0"/>
            <w:vAlign w:val="center"/>
          </w:tcPr>
          <w:p w14:paraId="52A4137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项目投入后</w:t>
            </w:r>
          </w:p>
          <w:p w14:paraId="5DEC5C2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指标值</w:t>
            </w: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73AA38B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年度指标值</w:t>
            </w:r>
          </w:p>
        </w:tc>
      </w:tr>
      <w:tr w14:paraId="5C19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2" w:hRule="atLeast"/>
        </w:trPr>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41DB9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22" w:type="pct"/>
            <w:vMerge w:val="restart"/>
            <w:tcBorders>
              <w:top w:val="single" w:color="000000" w:sz="4" w:space="0"/>
              <w:left w:val="single" w:color="000000" w:sz="4" w:space="0"/>
              <w:bottom w:val="single" w:color="000000" w:sz="4" w:space="0"/>
              <w:right w:val="single" w:color="000000" w:sz="4" w:space="0"/>
            </w:tcBorders>
            <w:noWrap w:val="0"/>
            <w:vAlign w:val="center"/>
          </w:tcPr>
          <w:p w14:paraId="000C34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预期效果指标</w:t>
            </w:r>
          </w:p>
        </w:tc>
        <w:tc>
          <w:tcPr>
            <w:tcW w:w="909" w:type="pct"/>
            <w:tcBorders>
              <w:top w:val="single" w:color="000000" w:sz="4" w:space="0"/>
              <w:left w:val="single" w:color="000000" w:sz="4" w:space="0"/>
              <w:right w:val="single" w:color="000000" w:sz="4" w:space="0"/>
            </w:tcBorders>
            <w:noWrap w:val="0"/>
            <w:vAlign w:val="center"/>
          </w:tcPr>
          <w:p w14:paraId="53F64A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产出指标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1BA726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36" w:type="pct"/>
            <w:tcBorders>
              <w:top w:val="single" w:color="000000" w:sz="4" w:space="0"/>
              <w:bottom w:val="single" w:color="000000" w:sz="4" w:space="0"/>
              <w:right w:val="single" w:color="000000" w:sz="4" w:space="0"/>
            </w:tcBorders>
            <w:noWrap w:val="0"/>
            <w:vAlign w:val="center"/>
          </w:tcPr>
          <w:p w14:paraId="718E078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435B72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057B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5" w:hRule="atLeast"/>
        </w:trPr>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00152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2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90C5A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09" w:type="pct"/>
            <w:tcBorders>
              <w:top w:val="single" w:color="000000" w:sz="4" w:space="0"/>
              <w:left w:val="single" w:color="000000" w:sz="4" w:space="0"/>
              <w:bottom w:val="single" w:color="000000" w:sz="4" w:space="0"/>
              <w:right w:val="single" w:color="000000" w:sz="4" w:space="0"/>
            </w:tcBorders>
            <w:noWrap w:val="0"/>
            <w:vAlign w:val="center"/>
          </w:tcPr>
          <w:p w14:paraId="604DD3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满意度指标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0A6ACB8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36" w:type="pct"/>
            <w:tcBorders>
              <w:top w:val="single" w:color="000000" w:sz="4" w:space="0"/>
              <w:bottom w:val="single" w:color="000000" w:sz="4" w:space="0"/>
              <w:right w:val="single" w:color="000000" w:sz="4" w:space="0"/>
            </w:tcBorders>
            <w:noWrap w:val="0"/>
            <w:vAlign w:val="center"/>
          </w:tcPr>
          <w:p w14:paraId="396DD17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69FA3CA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6FF6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C36A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22" w:type="pct"/>
            <w:vMerge w:val="restart"/>
            <w:tcBorders>
              <w:top w:val="single" w:color="000000" w:sz="4" w:space="0"/>
              <w:left w:val="single" w:color="000000" w:sz="4" w:space="0"/>
              <w:right w:val="single" w:color="000000" w:sz="4" w:space="0"/>
            </w:tcBorders>
            <w:noWrap w:val="0"/>
            <w:vAlign w:val="center"/>
          </w:tcPr>
          <w:p w14:paraId="72DEB04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过程管理指标</w:t>
            </w:r>
          </w:p>
        </w:tc>
        <w:tc>
          <w:tcPr>
            <w:tcW w:w="909" w:type="pct"/>
            <w:tcBorders>
              <w:top w:val="single" w:color="000000" w:sz="4" w:space="0"/>
              <w:left w:val="single" w:color="000000" w:sz="4" w:space="0"/>
              <w:bottom w:val="single" w:color="000000" w:sz="4" w:space="0"/>
              <w:right w:val="single" w:color="000000" w:sz="4" w:space="0"/>
            </w:tcBorders>
            <w:noWrap w:val="0"/>
            <w:vAlign w:val="center"/>
          </w:tcPr>
          <w:p w14:paraId="0DFC3A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经济效益指标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11916EE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36" w:type="pct"/>
            <w:tcBorders>
              <w:top w:val="single" w:color="000000" w:sz="4" w:space="0"/>
              <w:left w:val="single" w:color="000000" w:sz="4" w:space="0"/>
              <w:bottom w:val="single" w:color="000000" w:sz="4" w:space="0"/>
              <w:right w:val="single" w:color="000000" w:sz="4" w:space="0"/>
            </w:tcBorders>
            <w:noWrap w:val="0"/>
            <w:vAlign w:val="center"/>
          </w:tcPr>
          <w:p w14:paraId="6B257A1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044B777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0466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DC170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22" w:type="pct"/>
            <w:vMerge w:val="continue"/>
            <w:tcBorders>
              <w:left w:val="single" w:color="000000" w:sz="4" w:space="0"/>
              <w:right w:val="single" w:color="000000" w:sz="4" w:space="0"/>
            </w:tcBorders>
            <w:noWrap w:val="0"/>
            <w:vAlign w:val="center"/>
          </w:tcPr>
          <w:p w14:paraId="2F7259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09" w:type="pct"/>
            <w:tcBorders>
              <w:top w:val="single" w:color="000000" w:sz="4" w:space="0"/>
              <w:left w:val="single" w:color="000000" w:sz="4" w:space="0"/>
              <w:bottom w:val="single" w:color="000000" w:sz="4" w:space="0"/>
              <w:right w:val="single" w:color="000000" w:sz="4" w:space="0"/>
            </w:tcBorders>
            <w:noWrap w:val="0"/>
            <w:vAlign w:val="center"/>
          </w:tcPr>
          <w:p w14:paraId="6D0ACA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社会效益指标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26E3FB6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36" w:type="pct"/>
            <w:tcBorders>
              <w:top w:val="single" w:color="000000" w:sz="4" w:space="0"/>
              <w:left w:val="single" w:color="000000" w:sz="4" w:space="0"/>
              <w:bottom w:val="single" w:color="000000" w:sz="4" w:space="0"/>
              <w:right w:val="single" w:color="000000" w:sz="4" w:space="0"/>
            </w:tcBorders>
            <w:noWrap w:val="0"/>
            <w:vAlign w:val="center"/>
          </w:tcPr>
          <w:p w14:paraId="3BE332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2F9D0E3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r w14:paraId="1117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2FF61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22" w:type="pct"/>
            <w:vMerge w:val="continue"/>
            <w:tcBorders>
              <w:left w:val="single" w:color="000000" w:sz="4" w:space="0"/>
              <w:bottom w:val="single" w:color="000000" w:sz="4" w:space="0"/>
              <w:right w:val="single" w:color="000000" w:sz="4" w:space="0"/>
            </w:tcBorders>
            <w:noWrap w:val="0"/>
            <w:vAlign w:val="center"/>
          </w:tcPr>
          <w:p w14:paraId="6E84282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09" w:type="pct"/>
            <w:tcBorders>
              <w:top w:val="single" w:color="000000" w:sz="4" w:space="0"/>
              <w:left w:val="single" w:color="000000" w:sz="4" w:space="0"/>
              <w:bottom w:val="single" w:color="000000" w:sz="4" w:space="0"/>
              <w:right w:val="single" w:color="000000" w:sz="4" w:space="0"/>
            </w:tcBorders>
            <w:noWrap w:val="0"/>
            <w:vAlign w:val="center"/>
          </w:tcPr>
          <w:p w14:paraId="792D17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r>
              <w:rPr>
                <w:rFonts w:hint="default" w:ascii="Times New Roman" w:hAnsi="Times New Roman" w:cs="Times New Roman" w:eastAsiaTheme="minorEastAsia"/>
                <w:spacing w:val="0"/>
                <w:sz w:val="24"/>
                <w:szCs w:val="24"/>
                <w:vertAlign w:val="baseline"/>
                <w:lang w:val="en-US" w:eastAsia="zh-CN"/>
              </w:rPr>
              <w:t>监督检查指标</w:t>
            </w:r>
          </w:p>
        </w:tc>
        <w:tc>
          <w:tcPr>
            <w:tcW w:w="885" w:type="pct"/>
            <w:tcBorders>
              <w:top w:val="single" w:color="000000" w:sz="4" w:space="0"/>
              <w:left w:val="single" w:color="000000" w:sz="4" w:space="0"/>
              <w:bottom w:val="single" w:color="000000" w:sz="4" w:space="0"/>
              <w:right w:val="single" w:color="000000" w:sz="4" w:space="0"/>
            </w:tcBorders>
            <w:noWrap w:val="0"/>
            <w:vAlign w:val="center"/>
          </w:tcPr>
          <w:p w14:paraId="37B4452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36" w:type="pct"/>
            <w:tcBorders>
              <w:top w:val="single" w:color="000000" w:sz="4" w:space="0"/>
              <w:left w:val="single" w:color="000000" w:sz="4" w:space="0"/>
              <w:bottom w:val="single" w:color="000000" w:sz="4" w:space="0"/>
              <w:right w:val="single" w:color="000000" w:sz="4" w:space="0"/>
            </w:tcBorders>
            <w:noWrap w:val="0"/>
            <w:vAlign w:val="center"/>
          </w:tcPr>
          <w:p w14:paraId="3411F4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c>
          <w:tcPr>
            <w:tcW w:w="913" w:type="pct"/>
            <w:tcBorders>
              <w:top w:val="single" w:color="000000" w:sz="4" w:space="0"/>
              <w:left w:val="single" w:color="000000" w:sz="4" w:space="0"/>
              <w:bottom w:val="single" w:color="000000" w:sz="4" w:space="0"/>
              <w:right w:val="single" w:color="000000" w:sz="4" w:space="0"/>
            </w:tcBorders>
            <w:noWrap w:val="0"/>
            <w:vAlign w:val="center"/>
          </w:tcPr>
          <w:p w14:paraId="72A9143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spacing w:val="0"/>
                <w:sz w:val="24"/>
                <w:szCs w:val="24"/>
                <w:vertAlign w:val="baseline"/>
                <w:lang w:val="en-US" w:eastAsia="zh-CN"/>
              </w:rPr>
            </w:pPr>
          </w:p>
        </w:tc>
      </w:tr>
    </w:tbl>
    <w:p w14:paraId="200A1B9E">
      <w:pPr>
        <w:keepNext w:val="0"/>
        <w:keepLines w:val="0"/>
        <w:pageBreakBefore w:val="0"/>
        <w:widowControl w:val="0"/>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注：1.本表为废旧动力电池领域企业奖补资金绩效指标填报专用，指标分为预期效果指标、过程管理指标两大类。</w:t>
      </w:r>
    </w:p>
    <w:p w14:paraId="42556F1F">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lang w:val="en-US" w:eastAsia="zh-CN" w:bidi="ar"/>
        </w:rPr>
        <w:t>2.</w:t>
      </w:r>
      <w:r>
        <w:rPr>
          <w:rFonts w:hint="eastAsia" w:ascii="Times New Roman" w:hAnsi="Times New Roman" w:eastAsia="仿宋" w:cs="Times New Roman"/>
          <w:color w:val="000008"/>
          <w:spacing w:val="0"/>
          <w:kern w:val="0"/>
          <w:sz w:val="24"/>
          <w:szCs w:val="24"/>
          <w:highlight w:val="none"/>
          <w:lang w:val="en-US" w:eastAsia="zh-CN" w:bidi="ar"/>
        </w:rPr>
        <w:t>填报说明</w:t>
      </w:r>
      <w:r>
        <w:rPr>
          <w:rFonts w:hint="default" w:ascii="Times New Roman" w:hAnsi="Times New Roman" w:eastAsia="仿宋" w:cs="Times New Roman"/>
          <w:color w:val="000008"/>
          <w:spacing w:val="0"/>
          <w:kern w:val="0"/>
          <w:sz w:val="24"/>
          <w:szCs w:val="24"/>
          <w:highlight w:val="none"/>
          <w:lang w:val="en-US" w:eastAsia="zh-CN" w:bidi="ar"/>
        </w:rPr>
        <w:t>：</w:t>
      </w:r>
    </w:p>
    <w:p w14:paraId="12FD7A6C">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①产出指标填写要点：聚焦项目实物产出，全部量化。可围绕废旧动力电池全链条的回收量、拆解量、产线运行等；</w:t>
      </w:r>
    </w:p>
    <w:p w14:paraId="519A03F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②满意度指标填写要点：可分为上游回收合作方、下游产品采购客户、政府监管部门三类评价主体，综合体现项目经营口碑与合规基础，目标值不宜低于85%；</w:t>
      </w:r>
    </w:p>
    <w:p w14:paraId="1C1FB848">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③经济效益指标填写要点：量化产业收益、财政贡献、降本增效，证明企业具备市场化可持续运营能力，避免单纯依靠补贴生存。可从产值营收、税收贡献、生产成本管控维度量化项目市场化运营能力；</w:t>
      </w:r>
    </w:p>
    <w:p w14:paraId="12B30565">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④社会效益指标填写要点：可聚焦绿色低碳、就业带动、固废污染减排、产业链培育等导向；</w:t>
      </w:r>
    </w:p>
    <w:p w14:paraId="6386199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eastAsia" w:ascii="Times New Roman" w:hAnsi="Times New Roman" w:eastAsia="仿宋" w:cs="Times New Roman"/>
          <w:color w:val="000008"/>
          <w:spacing w:val="0"/>
          <w:kern w:val="0"/>
          <w:sz w:val="24"/>
          <w:szCs w:val="24"/>
          <w:highlight w:val="none"/>
          <w:lang w:val="en-US" w:eastAsia="zh-CN" w:bidi="ar"/>
        </w:rPr>
        <w:t>⑤</w:t>
      </w:r>
      <w:r>
        <w:rPr>
          <w:rFonts w:hint="default" w:ascii="Times New Roman" w:hAnsi="Times New Roman" w:eastAsia="仿宋" w:cs="Times New Roman"/>
          <w:color w:val="000008"/>
          <w:spacing w:val="0"/>
          <w:kern w:val="0"/>
          <w:sz w:val="24"/>
          <w:szCs w:val="24"/>
          <w:highlight w:val="none"/>
          <w:lang w:val="en-US" w:eastAsia="zh-CN" w:bidi="ar"/>
        </w:rPr>
        <w:t>监督检查指标填写要点：可明确溯源台账、隐患整改、资金专款专用等刚性管控要求，环保、安全相关目标须承诺零行政处罚。</w:t>
      </w:r>
    </w:p>
    <w:p w14:paraId="2644B1D1">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lang w:val="en-US" w:eastAsia="zh-CN" w:bidi="ar"/>
        </w:rPr>
      </w:pPr>
      <w:r>
        <w:rPr>
          <w:rFonts w:hint="default" w:ascii="Times New Roman" w:hAnsi="Times New Roman" w:eastAsia="仿宋" w:cs="Times New Roman"/>
          <w:color w:val="000008"/>
          <w:spacing w:val="0"/>
          <w:kern w:val="0"/>
          <w:sz w:val="24"/>
          <w:szCs w:val="24"/>
          <w:lang w:val="en-US" w:eastAsia="zh-CN" w:bidi="ar"/>
        </w:rPr>
        <w:t>3.企业指标数据应与企业产能备案、环境影响评价、年度财务报表、生产运营台账等佐证材料保持一致，确保数据可核查、可溯源；同时可根据自身资金投入用途灵活调整填写。</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CC8550-5EB2-4598-9B68-59A4805F54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5D4CD71-2582-4F2A-94D4-A8FE9FC077A0}"/>
  </w:font>
  <w:font w:name="Arial Unicode MS">
    <w:panose1 w:val="020B0604020202020204"/>
    <w:charset w:val="86"/>
    <w:family w:val="auto"/>
    <w:pitch w:val="default"/>
    <w:sig w:usb0="FFFFFFFF" w:usb1="E9FFFFFF" w:usb2="0000003F" w:usb3="00000000" w:csb0="603F01FF" w:csb1="FFFF0000"/>
    <w:embedRegular r:id="rId3" w:fontKey="{F80BFB21-2E9B-4E85-811A-DD23DF7DE06F}"/>
  </w:font>
  <w:font w:name="楷体_GB2312">
    <w:panose1 w:val="02010609030101010101"/>
    <w:charset w:val="86"/>
    <w:family w:val="auto"/>
    <w:pitch w:val="default"/>
    <w:sig w:usb0="00000001" w:usb1="080E0000" w:usb2="00000000" w:usb3="00000000" w:csb0="00040000" w:csb1="00000000"/>
    <w:embedRegular r:id="rId4" w:fontKey="{044A0B6E-527B-4371-8090-2F01E22FE996}"/>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9814151B-AD89-4B8A-BD4D-31344F95DE06}"/>
  </w:font>
  <w:font w:name="方正黑体_GBK">
    <w:altName w:val="微软雅黑"/>
    <w:panose1 w:val="03000509000000000000"/>
    <w:charset w:val="86"/>
    <w:family w:val="auto"/>
    <w:pitch w:val="default"/>
    <w:sig w:usb0="00000000" w:usb1="00000000" w:usb2="00000000" w:usb3="00000000" w:csb0="00040000" w:csb1="00000000"/>
    <w:embedRegular r:id="rId6" w:fontKey="{7A49C5EB-5A4D-4C2D-8C69-4E8B575F1078}"/>
  </w:font>
  <w:font w:name="微软雅黑">
    <w:panose1 w:val="020B0503020204020204"/>
    <w:charset w:val="86"/>
    <w:family w:val="auto"/>
    <w:pitch w:val="default"/>
    <w:sig w:usb0="80000287" w:usb1="2ACF3C50" w:usb2="00000016" w:usb3="00000000" w:csb0="0004001F" w:csb1="00000000"/>
  </w:font>
  <w:font w:name="WPSEMBED2">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7A59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14021"/>
    <w:rsid w:val="040E6EA4"/>
    <w:rsid w:val="090C12D0"/>
    <w:rsid w:val="09D27E0F"/>
    <w:rsid w:val="0DCD5DB5"/>
    <w:rsid w:val="1494035C"/>
    <w:rsid w:val="17C3523B"/>
    <w:rsid w:val="186C02C4"/>
    <w:rsid w:val="18893D8F"/>
    <w:rsid w:val="1BE93BD8"/>
    <w:rsid w:val="1E5B1DB9"/>
    <w:rsid w:val="1EA0245D"/>
    <w:rsid w:val="2D747745"/>
    <w:rsid w:val="3115220C"/>
    <w:rsid w:val="32036508"/>
    <w:rsid w:val="32872E53"/>
    <w:rsid w:val="353F5AA9"/>
    <w:rsid w:val="36B95A56"/>
    <w:rsid w:val="39C20336"/>
    <w:rsid w:val="3A5D532D"/>
    <w:rsid w:val="3A9C74FA"/>
    <w:rsid w:val="3FBB0422"/>
    <w:rsid w:val="4B6A5957"/>
    <w:rsid w:val="51664F55"/>
    <w:rsid w:val="51FC33B1"/>
    <w:rsid w:val="60C87F4C"/>
    <w:rsid w:val="6274240D"/>
    <w:rsid w:val="63A9438F"/>
    <w:rsid w:val="664E69FC"/>
    <w:rsid w:val="672D74C7"/>
    <w:rsid w:val="6A257206"/>
    <w:rsid w:val="6C5C6966"/>
    <w:rsid w:val="70950698"/>
    <w:rsid w:val="712612F0"/>
    <w:rsid w:val="73940B18"/>
    <w:rsid w:val="76263B40"/>
    <w:rsid w:val="7E0F49AA"/>
    <w:rsid w:val="7E1F3128"/>
    <w:rsid w:val="7FFA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qFormat/>
    <w:uiPriority w:val="0"/>
    <w:pPr>
      <w:keepNext/>
      <w:keepLines/>
      <w:ind w:firstLine="0" w:firstLineChars="0"/>
      <w:jc w:val="left"/>
      <w:outlineLvl w:val="3"/>
    </w:pPr>
    <w:rPr>
      <w:rFonts w:ascii="Arial" w:hAnsi="Arial"/>
      <w:b/>
      <w:bCs/>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afc8e298-69f3-43b6-bd43-31c08d0eb98a</errorID>
      <errorWord>，</errorWord>
      <group>L1_Word</group>
      <groupName>字词问题</groupName>
      <ability>L2_Typo</ability>
      <abilityName>字词错误</abilityName>
      <candidateList>
        <item>，并</item>
      </candidateList>
      <explain/>
      <paraID>27E207EA</paraID>
      <start>31</start>
      <end>32</end>
      <status>ignored</status>
      <modifiedWord/>
      <trackRevisions>false</trackRevisions>
    </reviewItem>
    <reviewItem>
      <errorID>240fbeef-6a69-4efb-afef-cf83e8483e3c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40ED6C65</paraID>
      <start>4</start>
      <end>5</end>
      <status>ignored</status>
      <modifiedWord/>
      <trackRevisions>false</trackRevisions>
    </reviewItem>
    <reviewItem>
      <errorID>4e39a733-f783-428d-9699-a813162ff944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3B58C954</paraID>
      <start>4</start>
      <end>5</end>
      <status>ignored</status>
      <modifiedWord/>
      <trackRevisions>false</trackRevisions>
    </reviewItem>
    <reviewItem>
      <errorID>004db43a-4da6-47f0-8cb7-a33fc84c5ea3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4C883F81</paraID>
      <start>4</start>
      <end>5</end>
      <status>ignored</status>
      <modifiedWord/>
      <trackRevisions>false</trackRevisions>
    </reviewItem>
    <reviewItem>
      <errorID>193094db-6be9-4976-9399-2033df266afa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7FBA4567</paraID>
      <start>4</start>
      <end>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4eb533-1e7b-41ce-941c-c77a95c3c8c5}">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2130</Words>
  <Characters>2151</Characters>
  <Lines>0</Lines>
  <Paragraphs>0</Paragraphs>
  <TotalTime>3</TotalTime>
  <ScaleCrop>false</ScaleCrop>
  <LinksUpToDate>false</LinksUpToDate>
  <CharactersWithSpaces>2272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2026-07-16T08:15:00Z</dcterms:created>
  <dc:creator>Administrator</dc:creator>
  <cp:lastModifiedBy>常睿</cp:lastModifiedBy>
  <dcterms:modified xsi:type="dcterms:W3CDTF">2026-08-14T10:03:48Z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eyJoZGlkIjoiMzdhNzljODQ2M2M2MzJlMDU0OTU4MmFmOGI2MTFiMTEiLCJ1c2VySWQiOiIxNjI4ODY1MjI4In0=</vt:lpwstr>
  </property>
  <property fmtid="{D5CDD505-2E9C-101B-9397-08002B2CF9AE}" pid="4" name="ICV">
    <vt:lpwstr>D23AB8DDBDF245B08D0A89B6ED667718_13</vt:lpwstr>
  </property>
</Properties>
</file>